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FB" w:rsidRDefault="00EE41FB" w:rsidP="00EE41FB">
      <w:pPr>
        <w:jc w:val="center"/>
        <w:rPr>
          <w:rFonts w:ascii="Arial" w:hAnsi="Arial" w:cs="Arial"/>
        </w:rPr>
      </w:pPr>
      <w:r>
        <w:rPr>
          <w:rFonts w:ascii="Arial" w:hAnsi="Arial" w:cs="Arial"/>
          <w:smallCaps/>
          <w:noProof/>
          <w:lang w:val="es-ES"/>
        </w:rPr>
        <mc:AlternateContent>
          <mc:Choice Requires="wpg">
            <w:drawing>
              <wp:inline distT="0" distB="0" distL="0" distR="0">
                <wp:extent cx="816906" cy="281940"/>
                <wp:effectExtent l="0" t="0" r="2540" b="3810"/>
                <wp:docPr id="3392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906" cy="281940"/>
                          <a:chOff x="0" y="0"/>
                          <a:chExt cx="1182" cy="668"/>
                        </a:xfrm>
                      </wpg:grpSpPr>
                      <wps:wsp>
                        <wps:cNvPr id="3" name="Freeform 10"/>
                        <wps:cNvSpPr>
                          <a:spLocks noChangeAspect="1"/>
                        </wps:cNvSpPr>
                        <wps:spPr bwMode="auto">
                          <a:xfrm>
                            <a:off x="445" y="0"/>
                            <a:ext cx="345" cy="279"/>
                          </a:xfrm>
                          <a:custGeom>
                            <a:avLst/>
                            <a:gdLst>
                              <a:gd name="T0" fmla="*/ 0 w 345"/>
                              <a:gd name="T1" fmla="*/ 0 h 279"/>
                              <a:gd name="T2" fmla="*/ 345 w 345"/>
                              <a:gd name="T3" fmla="*/ 0 h 279"/>
                              <a:gd name="T4" fmla="*/ 162 w 345"/>
                              <a:gd name="T5" fmla="*/ 279 h 279"/>
                              <a:gd name="T6" fmla="*/ 0 w 345"/>
                              <a:gd name="T7" fmla="*/ 0 h 279"/>
                              <a:gd name="T8" fmla="*/ 0 60000 65536"/>
                              <a:gd name="T9" fmla="*/ 0 60000 65536"/>
                              <a:gd name="T10" fmla="*/ 0 60000 65536"/>
                              <a:gd name="T11" fmla="*/ 0 60000 65536"/>
                              <a:gd name="T12" fmla="*/ 0 w 345"/>
                              <a:gd name="T13" fmla="*/ 0 h 279"/>
                              <a:gd name="T14" fmla="*/ 345 w 345"/>
                              <a:gd name="T15" fmla="*/ 279 h 279"/>
                            </a:gdLst>
                            <a:ahLst/>
                            <a:cxnLst>
                              <a:cxn ang="T8">
                                <a:pos x="T0" y="T1"/>
                              </a:cxn>
                              <a:cxn ang="T9">
                                <a:pos x="T2" y="T3"/>
                              </a:cxn>
                              <a:cxn ang="T10">
                                <a:pos x="T4" y="T5"/>
                              </a:cxn>
                              <a:cxn ang="T11">
                                <a:pos x="T6" y="T7"/>
                              </a:cxn>
                            </a:cxnLst>
                            <a:rect l="T12" t="T13" r="T14" b="T15"/>
                            <a:pathLst>
                              <a:path w="345" h="279">
                                <a:moveTo>
                                  <a:pt x="0" y="0"/>
                                </a:moveTo>
                                <a:lnTo>
                                  <a:pt x="345" y="0"/>
                                </a:lnTo>
                                <a:lnTo>
                                  <a:pt x="162" y="279"/>
                                </a:lnTo>
                                <a:lnTo>
                                  <a:pt x="0" y="0"/>
                                </a:lnTo>
                                <a:close/>
                              </a:path>
                            </a:pathLst>
                          </a:custGeom>
                          <a:solidFill>
                            <a:srgbClr val="FF0000"/>
                          </a:solidFill>
                          <a:ln w="3175">
                            <a:noFill/>
                            <a:round/>
                            <a:headEnd/>
                            <a:tailEnd/>
                          </a:ln>
                        </wps:spPr>
                        <wps:bodyPr/>
                      </wps:wsp>
                      <wps:wsp>
                        <wps:cNvPr id="4" name="Freeform 11"/>
                        <wps:cNvSpPr>
                          <a:spLocks noChangeAspect="1"/>
                        </wps:cNvSpPr>
                        <wps:spPr bwMode="auto">
                          <a:xfrm>
                            <a:off x="632" y="41"/>
                            <a:ext cx="550" cy="627"/>
                          </a:xfrm>
                          <a:custGeom>
                            <a:avLst/>
                            <a:gdLst>
                              <a:gd name="T0" fmla="*/ 0 w 550"/>
                              <a:gd name="T1" fmla="*/ 275 h 627"/>
                              <a:gd name="T2" fmla="*/ 179 w 550"/>
                              <a:gd name="T3" fmla="*/ 0 h 627"/>
                              <a:gd name="T4" fmla="*/ 550 w 550"/>
                              <a:gd name="T5" fmla="*/ 627 h 627"/>
                              <a:gd name="T6" fmla="*/ 211 w 550"/>
                              <a:gd name="T7" fmla="*/ 627 h 627"/>
                              <a:gd name="T8" fmla="*/ 0 w 550"/>
                              <a:gd name="T9" fmla="*/ 275 h 627"/>
                              <a:gd name="T10" fmla="*/ 0 60000 65536"/>
                              <a:gd name="T11" fmla="*/ 0 60000 65536"/>
                              <a:gd name="T12" fmla="*/ 0 60000 65536"/>
                              <a:gd name="T13" fmla="*/ 0 60000 65536"/>
                              <a:gd name="T14" fmla="*/ 0 60000 65536"/>
                              <a:gd name="T15" fmla="*/ 0 w 550"/>
                              <a:gd name="T16" fmla="*/ 0 h 627"/>
                              <a:gd name="T17" fmla="*/ 550 w 550"/>
                              <a:gd name="T18" fmla="*/ 627 h 627"/>
                            </a:gdLst>
                            <a:ahLst/>
                            <a:cxnLst>
                              <a:cxn ang="T10">
                                <a:pos x="T0" y="T1"/>
                              </a:cxn>
                              <a:cxn ang="T11">
                                <a:pos x="T2" y="T3"/>
                              </a:cxn>
                              <a:cxn ang="T12">
                                <a:pos x="T4" y="T5"/>
                              </a:cxn>
                              <a:cxn ang="T13">
                                <a:pos x="T6" y="T7"/>
                              </a:cxn>
                              <a:cxn ang="T14">
                                <a:pos x="T8" y="T9"/>
                              </a:cxn>
                            </a:cxnLst>
                            <a:rect l="T15" t="T16" r="T17" b="T18"/>
                            <a:pathLst>
                              <a:path w="550" h="627">
                                <a:moveTo>
                                  <a:pt x="0" y="275"/>
                                </a:moveTo>
                                <a:lnTo>
                                  <a:pt x="179" y="0"/>
                                </a:lnTo>
                                <a:lnTo>
                                  <a:pt x="550" y="627"/>
                                </a:lnTo>
                                <a:lnTo>
                                  <a:pt x="211" y="627"/>
                                </a:lnTo>
                                <a:lnTo>
                                  <a:pt x="0" y="275"/>
                                </a:lnTo>
                                <a:close/>
                              </a:path>
                            </a:pathLst>
                          </a:custGeom>
                          <a:solidFill>
                            <a:srgbClr val="FF0000"/>
                          </a:solidFill>
                          <a:ln w="3175">
                            <a:noFill/>
                            <a:round/>
                            <a:headEnd/>
                            <a:tailEnd/>
                          </a:ln>
                        </wps:spPr>
                        <wps:bodyPr/>
                      </wps:wsp>
                      <wps:wsp>
                        <wps:cNvPr id="5" name="Freeform 12"/>
                        <wps:cNvSpPr>
                          <a:spLocks noChangeAspect="1"/>
                        </wps:cNvSpPr>
                        <wps:spPr bwMode="auto">
                          <a:xfrm>
                            <a:off x="0" y="0"/>
                            <a:ext cx="784" cy="666"/>
                          </a:xfrm>
                          <a:custGeom>
                            <a:avLst/>
                            <a:gdLst>
                              <a:gd name="T0" fmla="*/ 396 w 784"/>
                              <a:gd name="T1" fmla="*/ 0 h 666"/>
                              <a:gd name="T2" fmla="*/ 784 w 784"/>
                              <a:gd name="T3" fmla="*/ 666 h 666"/>
                              <a:gd name="T4" fmla="*/ 0 w 784"/>
                              <a:gd name="T5" fmla="*/ 666 h 666"/>
                              <a:gd name="T6" fmla="*/ 396 w 784"/>
                              <a:gd name="T7" fmla="*/ 0 h 666"/>
                              <a:gd name="T8" fmla="*/ 0 60000 65536"/>
                              <a:gd name="T9" fmla="*/ 0 60000 65536"/>
                              <a:gd name="T10" fmla="*/ 0 60000 65536"/>
                              <a:gd name="T11" fmla="*/ 0 60000 65536"/>
                              <a:gd name="T12" fmla="*/ 0 w 784"/>
                              <a:gd name="T13" fmla="*/ 0 h 666"/>
                              <a:gd name="T14" fmla="*/ 784 w 784"/>
                              <a:gd name="T15" fmla="*/ 666 h 666"/>
                            </a:gdLst>
                            <a:ahLst/>
                            <a:cxnLst>
                              <a:cxn ang="T8">
                                <a:pos x="T0" y="T1"/>
                              </a:cxn>
                              <a:cxn ang="T9">
                                <a:pos x="T2" y="T3"/>
                              </a:cxn>
                              <a:cxn ang="T10">
                                <a:pos x="T4" y="T5"/>
                              </a:cxn>
                              <a:cxn ang="T11">
                                <a:pos x="T6" y="T7"/>
                              </a:cxn>
                            </a:cxnLst>
                            <a:rect l="T12" t="T13" r="T14" b="T15"/>
                            <a:pathLst>
                              <a:path w="784" h="666">
                                <a:moveTo>
                                  <a:pt x="396" y="0"/>
                                </a:moveTo>
                                <a:lnTo>
                                  <a:pt x="784" y="666"/>
                                </a:lnTo>
                                <a:lnTo>
                                  <a:pt x="0" y="666"/>
                                </a:lnTo>
                                <a:lnTo>
                                  <a:pt x="396" y="0"/>
                                </a:lnTo>
                                <a:close/>
                              </a:path>
                            </a:pathLst>
                          </a:custGeom>
                          <a:solidFill>
                            <a:srgbClr val="FF0000"/>
                          </a:solidFill>
                          <a:ln w="3175">
                            <a:noFill/>
                            <a:round/>
                            <a:headEnd/>
                            <a:tailEnd/>
                          </a:ln>
                        </wps:spPr>
                        <wps:bodyPr/>
                      </wps:wsp>
                    </wpg:wgp>
                  </a:graphicData>
                </a:graphic>
              </wp:inline>
            </w:drawing>
          </mc:Choice>
          <mc:Fallback xmlns:cx1="http://schemas.microsoft.com/office/drawing/2015/9/8/chartex" xmlns:cx2="http://schemas.microsoft.com/office/drawing/2015/10/21/chartex">
            <w:pict>
              <v:group w14:anchorId="1ABD4AF8" id="Group 9" o:spid="_x0000_s1026" style="width:64.3pt;height:22.2pt;mso-position-horizontal-relative:char;mso-position-vertical-relative:line" coordsize="118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">
                <v:shape id="Freeform 10" o:spid="_x0000_s1027" style="position:absolute;left:445;width:345;height:279;visibility:visible;mso-wrap-style:square;v-text-anchor:top" coordsize="34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XaMIA&#10;AADaAAAADwAAAGRycy9kb3ducmV2LnhtbESPQYvCMBSE74L/ITzB25p2BVeqUURc9OBlVRRvj+bZ&#10;FpuX0kRt/fUbQfA4zMw3zHTemFLcqXaFZQXxIAJBnFpdcKbgsP/9GoNwHlljaZkUtORgPut2ppho&#10;++A/uu98JgKEXYIKcu+rREqX5mTQDWxFHLyLrQ36IOtM6hofAW5K+R1FI2mw4LCQY0XLnNLr7mYU&#10;XLbt07er+Oc4OvHqbNbb8hiPler3msUEhKfGf8Lv9kYrGMLrSrg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1dowgAAANoAAAAPAAAAAAAAAAAAAAAAAJgCAABkcnMvZG93&#10;bnJldi54bWxQSwUGAAAAAAQABAD1AAAAhwMAAAAA&#10;" path="m,l345,,162,279,,xe" fillcolor="red" stroked="f" strokeweight=".25pt">
                  <v:path arrowok="t" o:connecttype="custom" o:connectlocs="0,0;345,0;162,279;0,0" o:connectangles="0,0,0,0" textboxrect="0,0,345,279"/>
                  <o:lock v:ext="edit" aspectratio="t"/>
                </v:shape>
                <v:shape id="Freeform 11" o:spid="_x0000_s1028" style="position:absolute;left:632;top:41;width:550;height:627;visibility:visible;mso-wrap-style:square;v-text-anchor:top" coordsize="550,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u8MA&#10;AADaAAAADwAAAGRycy9kb3ducmV2LnhtbESPQWvCQBSE7wX/w/KE3upGLUWiq4gg1CJCowe9PbPP&#10;JJh9G3a3Jv33riB4HGbmG2a26EwtbuR8ZVnBcJCAIM6trrhQcNivPyYgfEDWWFsmBf/kYTHvvc0w&#10;1bblX7ploRARwj5FBWUITSqlz0sy6Ae2IY7exTqDIUpXSO2wjXBTy1GSfEmDFceFEhtalZRfsz+j&#10;YPfj27A/jsx4s83y82lSS7ddK/Xe75ZTEIG68Ao/299awSc8rsQb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A+u8MAAADaAAAADwAAAAAAAAAAAAAAAACYAgAAZHJzL2Rv&#10;d25yZXYueG1sUEsFBgAAAAAEAAQA9QAAAIgDAAAAAA==&#10;" path="m,275l179,,550,627r-339,l,275xe" fillcolor="red" stroked="f" strokeweight=".25pt">
                  <v:path arrowok="t" o:connecttype="custom" o:connectlocs="0,275;179,0;550,627;211,627;0,275" o:connectangles="0,0,0,0,0" textboxrect="0,0,550,627"/>
                  <o:lock v:ext="edit" aspectratio="t"/>
                </v:shape>
                <v:shape id="Freeform 12" o:spid="_x0000_s1029" style="position:absolute;width:784;height:666;visibility:visible;mso-wrap-style:square;v-text-anchor:top" coordsize="78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f5cIA&#10;AADaAAAADwAAAGRycy9kb3ducmV2LnhtbESPS4vCQBCE78L+h6EXvJmJgo+NjrIsCCvowSi4xybT&#10;eZBMT8jMavz3jiB4LKrqK2q16U0jrtS5yrKCcRSDIM6srrhQcD5tRwsQziNrbCyTgjs52Kw/BitM&#10;tL3xka6pL0SAsEtQQel9m0jpspIMusi2xMHLbWfQB9kVUnd4C3DTyEkcz6TBisNCiS39lJTV6b9R&#10;4OvzTs/iP83VvM7wa3/p88NFqeFn/70E4an37/Cr/asVTOF5Jdw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1t/lwgAAANoAAAAPAAAAAAAAAAAAAAAAAJgCAABkcnMvZG93&#10;bnJldi54bWxQSwUGAAAAAAQABAD1AAAAhwMAAAAA&#10;" path="m396,l784,666,,666,396,xe" fillcolor="red" stroked="f" strokeweight=".25pt">
                  <v:path arrowok="t" o:connecttype="custom" o:connectlocs="396,0;784,666;0,666;396,0" o:connectangles="0,0,0,0" textboxrect="0,0,784,666"/>
                  <o:lock v:ext="edit" aspectratio="t"/>
                </v:shape>
                <w10:anchorlock/>
              </v:group>
            </w:pict>
          </mc:Fallback>
        </mc:AlternateContent>
      </w:r>
    </w:p>
    <w:p w:rsidR="00EE41FB" w:rsidRPr="00B61DF9" w:rsidRDefault="00EE41FB" w:rsidP="00EE41FB">
      <w:pPr>
        <w:pStyle w:val="Textoindependiente"/>
        <w:spacing w:line="240" w:lineRule="auto"/>
        <w:jc w:val="center"/>
        <w:rPr>
          <w:rFonts w:ascii="Arial" w:hAnsi="Arial" w:cs="Arial"/>
          <w:i/>
          <w:smallCaps/>
          <w:sz w:val="20"/>
          <w:szCs w:val="20"/>
        </w:rPr>
      </w:pPr>
      <w:r w:rsidRPr="00B61DF9">
        <w:rPr>
          <w:rFonts w:ascii="Arial" w:hAnsi="Arial" w:cs="Arial"/>
          <w:i/>
          <w:sz w:val="20"/>
          <w:szCs w:val="20"/>
        </w:rPr>
        <w:t>“</w:t>
      </w:r>
      <w:r w:rsidRPr="00B61DF9">
        <w:rPr>
          <w:rFonts w:ascii="Arial" w:hAnsi="Arial" w:cs="Arial"/>
          <w:i/>
          <w:smallCaps/>
          <w:sz w:val="20"/>
          <w:szCs w:val="20"/>
        </w:rPr>
        <w:t>CORIMON, C.A.”</w:t>
      </w:r>
    </w:p>
    <w:p w:rsidR="00EE41FB" w:rsidRPr="003B18AD" w:rsidRDefault="003B18AD" w:rsidP="00EE41FB">
      <w:pPr>
        <w:jc w:val="center"/>
        <w:rPr>
          <w:rFonts w:ascii="Arial" w:hAnsi="Arial" w:cs="Arial"/>
          <w:i/>
          <w:smallCaps/>
          <w:sz w:val="20"/>
          <w:szCs w:val="20"/>
        </w:rPr>
      </w:pPr>
      <w:r>
        <w:rPr>
          <w:rFonts w:ascii="Arial" w:hAnsi="Arial" w:cs="Arial"/>
          <w:i/>
          <w:smallCaps/>
          <w:sz w:val="20"/>
          <w:szCs w:val="20"/>
        </w:rPr>
        <w:t xml:space="preserve">CAPITAL AUTORIZADO: Bs. </w:t>
      </w:r>
      <w:r w:rsidR="009F5E23" w:rsidRPr="00114E9A">
        <w:rPr>
          <w:rFonts w:ascii="Bookman Old Style" w:hAnsi="Bookman Old Style" w:cs="Arial"/>
          <w:sz w:val="21"/>
          <w:szCs w:val="21"/>
          <w:lang w:val="es-MX"/>
        </w:rPr>
        <w:t>Bs. 7.500.000</w:t>
      </w:r>
    </w:p>
    <w:p w:rsidR="009F5E23" w:rsidRDefault="003B18AD" w:rsidP="00EE41FB">
      <w:pPr>
        <w:jc w:val="center"/>
        <w:rPr>
          <w:rFonts w:ascii="Bookman Old Style" w:hAnsi="Bookman Old Style" w:cs="Arial"/>
          <w:sz w:val="21"/>
          <w:szCs w:val="21"/>
          <w:lang w:val="es-MX"/>
        </w:rPr>
      </w:pPr>
      <w:r>
        <w:rPr>
          <w:rFonts w:ascii="Arial" w:hAnsi="Arial" w:cs="Arial"/>
          <w:i/>
          <w:smallCaps/>
          <w:sz w:val="20"/>
          <w:szCs w:val="20"/>
        </w:rPr>
        <w:t xml:space="preserve">CAPITAL SUSCRITO Y PAGADO: Bs. </w:t>
      </w:r>
      <w:r w:rsidR="009F5E23" w:rsidRPr="00114E9A">
        <w:rPr>
          <w:rFonts w:ascii="Bookman Old Style" w:hAnsi="Bookman Old Style" w:cs="Arial"/>
          <w:sz w:val="21"/>
          <w:szCs w:val="21"/>
          <w:lang w:val="es-MX"/>
        </w:rPr>
        <w:t>Bs. 25.420.000</w:t>
      </w:r>
    </w:p>
    <w:p w:rsidR="00EE41FB" w:rsidRPr="003B18AD" w:rsidRDefault="00EE41FB" w:rsidP="00EE41FB">
      <w:pPr>
        <w:jc w:val="center"/>
        <w:rPr>
          <w:rFonts w:ascii="Arial" w:hAnsi="Arial" w:cs="Arial"/>
          <w:i/>
          <w:smallCaps/>
          <w:sz w:val="20"/>
          <w:szCs w:val="20"/>
        </w:rPr>
      </w:pPr>
      <w:r w:rsidRPr="003B18AD">
        <w:rPr>
          <w:rFonts w:ascii="Arial" w:hAnsi="Arial" w:cs="Arial"/>
          <w:i/>
          <w:smallCaps/>
          <w:sz w:val="20"/>
          <w:szCs w:val="20"/>
        </w:rPr>
        <w:t>Caracas, Venezuela</w:t>
      </w:r>
    </w:p>
    <w:p w:rsidR="00EE41FB" w:rsidRPr="003B18AD" w:rsidRDefault="00EE41FB" w:rsidP="00EE41FB">
      <w:pPr>
        <w:tabs>
          <w:tab w:val="center" w:pos="4549"/>
          <w:tab w:val="left" w:pos="6223"/>
        </w:tabs>
        <w:ind w:left="709" w:hanging="709"/>
        <w:jc w:val="center"/>
        <w:rPr>
          <w:rFonts w:ascii="Arial" w:hAnsi="Arial" w:cs="Arial"/>
          <w:b/>
          <w:sz w:val="20"/>
          <w:szCs w:val="20"/>
        </w:rPr>
      </w:pPr>
    </w:p>
    <w:p w:rsidR="00E91A51" w:rsidRPr="0057376A" w:rsidRDefault="00EE41FB" w:rsidP="0057376A">
      <w:pPr>
        <w:tabs>
          <w:tab w:val="center" w:pos="4549"/>
          <w:tab w:val="left" w:pos="6223"/>
        </w:tabs>
        <w:ind w:left="709" w:hanging="709"/>
        <w:jc w:val="center"/>
        <w:rPr>
          <w:rFonts w:ascii="Arial" w:hAnsi="Arial" w:cs="Arial"/>
          <w:b/>
          <w:sz w:val="20"/>
          <w:szCs w:val="20"/>
        </w:rPr>
      </w:pPr>
      <w:r w:rsidRPr="00B61DF9">
        <w:rPr>
          <w:rFonts w:ascii="Arial" w:hAnsi="Arial" w:cs="Arial"/>
          <w:b/>
          <w:sz w:val="20"/>
          <w:szCs w:val="20"/>
        </w:rPr>
        <w:t>AVISO A LOS ACCIONISTAS</w:t>
      </w:r>
      <w:r w:rsidR="00AD78CA" w:rsidRPr="00B61DF9">
        <w:rPr>
          <w:rFonts w:ascii="Arial" w:hAnsi="Arial" w:cs="Arial"/>
          <w:b/>
          <w:sz w:val="20"/>
          <w:szCs w:val="20"/>
        </w:rPr>
        <w:t xml:space="preserve"> </w:t>
      </w:r>
    </w:p>
    <w:p w:rsidR="00EE41FB" w:rsidRPr="00B61DF9" w:rsidRDefault="00226859" w:rsidP="00EE41FB">
      <w:pPr>
        <w:tabs>
          <w:tab w:val="center" w:pos="4549"/>
          <w:tab w:val="left" w:pos="6223"/>
        </w:tabs>
        <w:ind w:left="709" w:hanging="709"/>
        <w:jc w:val="center"/>
        <w:rPr>
          <w:rFonts w:ascii="Arial" w:hAnsi="Arial" w:cs="Arial"/>
          <w:b/>
          <w:sz w:val="20"/>
          <w:szCs w:val="20"/>
        </w:rPr>
      </w:pPr>
      <w:r w:rsidRPr="00B61DF9">
        <w:rPr>
          <w:rFonts w:ascii="Arial" w:hAnsi="Arial" w:cs="Arial"/>
          <w:b/>
          <w:sz w:val="20"/>
          <w:szCs w:val="20"/>
        </w:rPr>
        <w:t>AUMENTO DE CAPITAL SOCIAL</w:t>
      </w:r>
    </w:p>
    <w:p w:rsidR="00EE41FB" w:rsidRPr="00B61DF9" w:rsidRDefault="00326BD3" w:rsidP="00EE41FB">
      <w:pPr>
        <w:ind w:left="709" w:hanging="709"/>
        <w:rPr>
          <w:rFonts w:ascii="Arial" w:hAnsi="Arial" w:cs="Arial"/>
          <w:sz w:val="20"/>
          <w:szCs w:val="20"/>
        </w:rPr>
      </w:pPr>
      <w:r>
        <w:rPr>
          <w:rFonts w:ascii="Arial" w:hAnsi="Arial" w:cs="Arial"/>
          <w:sz w:val="20"/>
          <w:szCs w:val="20"/>
        </w:rPr>
        <w:t xml:space="preserve"> </w:t>
      </w:r>
    </w:p>
    <w:p w:rsidR="00326BD3" w:rsidRPr="00326BD3" w:rsidRDefault="0057376A" w:rsidP="00E91A51">
      <w:pPr>
        <w:pStyle w:val="Default"/>
        <w:jc w:val="both"/>
        <w:rPr>
          <w:rFonts w:ascii="Arial" w:hAnsi="Arial" w:cs="Arial"/>
          <w:sz w:val="20"/>
          <w:szCs w:val="20"/>
        </w:rPr>
      </w:pPr>
      <w:r>
        <w:rPr>
          <w:rFonts w:ascii="Arial" w:hAnsi="Arial" w:cs="Arial"/>
          <w:sz w:val="20"/>
          <w:szCs w:val="20"/>
        </w:rPr>
        <w:t>S</w:t>
      </w:r>
      <w:r w:rsidR="00E91A51">
        <w:rPr>
          <w:rFonts w:ascii="Arial" w:hAnsi="Arial" w:cs="Arial"/>
          <w:sz w:val="20"/>
          <w:szCs w:val="20"/>
        </w:rPr>
        <w:t xml:space="preserve">e </w:t>
      </w:r>
      <w:r w:rsidR="00EE41FB" w:rsidRPr="00B61DF9">
        <w:rPr>
          <w:rFonts w:ascii="Arial" w:hAnsi="Arial" w:cs="Arial"/>
          <w:sz w:val="20"/>
          <w:szCs w:val="20"/>
        </w:rPr>
        <w:t xml:space="preserve">participa a los señores accionistas de Corimon, C.A., </w:t>
      </w:r>
      <w:r w:rsidR="00226859" w:rsidRPr="00B61DF9">
        <w:rPr>
          <w:rFonts w:ascii="Arial" w:hAnsi="Arial" w:cs="Arial"/>
          <w:sz w:val="20"/>
          <w:szCs w:val="20"/>
        </w:rPr>
        <w:t xml:space="preserve">que en </w:t>
      </w:r>
      <w:r w:rsidR="0020576B">
        <w:rPr>
          <w:rFonts w:ascii="Arial" w:hAnsi="Arial" w:cs="Arial"/>
          <w:sz w:val="20"/>
          <w:szCs w:val="20"/>
        </w:rPr>
        <w:t xml:space="preserve">fecha </w:t>
      </w:r>
      <w:r>
        <w:rPr>
          <w:rFonts w:ascii="Arial" w:hAnsi="Arial" w:cs="Arial"/>
          <w:sz w:val="20"/>
          <w:szCs w:val="20"/>
        </w:rPr>
        <w:t>14 de diciembre de 2021, mediante Providencia Nº</w:t>
      </w:r>
      <w:r w:rsidR="00FC16D8">
        <w:rPr>
          <w:rFonts w:ascii="Arial" w:hAnsi="Arial" w:cs="Arial"/>
          <w:sz w:val="20"/>
          <w:szCs w:val="20"/>
        </w:rPr>
        <w:t xml:space="preserve"> </w:t>
      </w:r>
      <w:r>
        <w:rPr>
          <w:rFonts w:ascii="Arial" w:hAnsi="Arial" w:cs="Arial"/>
          <w:sz w:val="20"/>
          <w:szCs w:val="20"/>
        </w:rPr>
        <w:t>276</w:t>
      </w:r>
      <w:r w:rsidR="00326BD3" w:rsidRPr="00326BD3">
        <w:rPr>
          <w:rFonts w:ascii="Arial" w:hAnsi="Arial" w:cs="Arial"/>
          <w:sz w:val="20"/>
          <w:szCs w:val="20"/>
        </w:rPr>
        <w:t xml:space="preserve"> </w:t>
      </w:r>
      <w:r w:rsidR="00AA794C">
        <w:rPr>
          <w:rFonts w:ascii="Arial" w:hAnsi="Arial" w:cs="Arial"/>
          <w:sz w:val="20"/>
          <w:szCs w:val="20"/>
        </w:rPr>
        <w:t xml:space="preserve">la Superintendencia Nacional de Valores autorizó la oferta pública de </w:t>
      </w:r>
      <w:r>
        <w:rPr>
          <w:rFonts w:ascii="Arial" w:hAnsi="Arial" w:cs="Arial"/>
          <w:sz w:val="20"/>
          <w:szCs w:val="20"/>
        </w:rPr>
        <w:t>15.001.469</w:t>
      </w:r>
      <w:r w:rsidR="00AA794C">
        <w:rPr>
          <w:rFonts w:ascii="Arial" w:hAnsi="Arial" w:cs="Arial"/>
          <w:sz w:val="20"/>
          <w:szCs w:val="20"/>
        </w:rPr>
        <w:t xml:space="preserve"> </w:t>
      </w:r>
      <w:r w:rsidR="00326BD3" w:rsidRPr="00326BD3">
        <w:rPr>
          <w:rFonts w:ascii="Arial" w:hAnsi="Arial" w:cs="Arial"/>
          <w:sz w:val="20"/>
          <w:szCs w:val="20"/>
        </w:rPr>
        <w:t>nuevas acciones comunes, nominativas, no convertibles al portador</w:t>
      </w:r>
      <w:r w:rsidR="00326BD3">
        <w:rPr>
          <w:rFonts w:ascii="Arial" w:hAnsi="Arial" w:cs="Arial"/>
          <w:sz w:val="20"/>
          <w:szCs w:val="20"/>
        </w:rPr>
        <w:t xml:space="preserve"> de la empresa</w:t>
      </w:r>
      <w:r w:rsidR="00326BD3" w:rsidRPr="00326BD3">
        <w:rPr>
          <w:rFonts w:ascii="Arial" w:hAnsi="Arial" w:cs="Arial"/>
          <w:sz w:val="20"/>
          <w:szCs w:val="20"/>
        </w:rPr>
        <w:t>, con un valor nominal de Bs.</w:t>
      </w:r>
      <w:r>
        <w:rPr>
          <w:rFonts w:ascii="Arial" w:hAnsi="Arial" w:cs="Arial"/>
          <w:sz w:val="20"/>
          <w:szCs w:val="20"/>
        </w:rPr>
        <w:t xml:space="preserve"> 0,05</w:t>
      </w:r>
      <w:r w:rsidR="00326BD3" w:rsidRPr="00326BD3">
        <w:rPr>
          <w:rFonts w:ascii="Arial" w:hAnsi="Arial" w:cs="Arial"/>
          <w:sz w:val="20"/>
          <w:szCs w:val="20"/>
        </w:rPr>
        <w:t xml:space="preserve"> cada una por un monto total de Bs.</w:t>
      </w:r>
      <w:r>
        <w:rPr>
          <w:rFonts w:ascii="Arial" w:hAnsi="Arial" w:cs="Arial"/>
          <w:sz w:val="20"/>
          <w:szCs w:val="20"/>
        </w:rPr>
        <w:t xml:space="preserve"> 750.073,45</w:t>
      </w:r>
      <w:r w:rsidR="00326BD3">
        <w:rPr>
          <w:rFonts w:ascii="Arial" w:hAnsi="Arial" w:cs="Arial"/>
          <w:sz w:val="20"/>
          <w:szCs w:val="20"/>
        </w:rPr>
        <w:t xml:space="preserve">. En tal sentido, la Oferta se realizará en los términos siguientes: </w:t>
      </w:r>
    </w:p>
    <w:p w:rsidR="00226859" w:rsidRPr="00B61DF9" w:rsidRDefault="00226859" w:rsidP="00226859">
      <w:pPr>
        <w:pStyle w:val="NormalWeb"/>
        <w:shd w:val="clear" w:color="auto" w:fill="FFFFFF"/>
        <w:spacing w:before="0" w:beforeAutospacing="0" w:after="0" w:afterAutospacing="0"/>
        <w:jc w:val="both"/>
        <w:rPr>
          <w:rFonts w:ascii="Arial" w:hAnsi="Arial" w:cs="Arial"/>
          <w:sz w:val="20"/>
          <w:szCs w:val="20"/>
        </w:rPr>
      </w:pPr>
    </w:p>
    <w:p w:rsidR="0057376A" w:rsidRDefault="0057376A" w:rsidP="003B18AD">
      <w:pPr>
        <w:pStyle w:val="Default"/>
        <w:numPr>
          <w:ilvl w:val="0"/>
          <w:numId w:val="13"/>
        </w:numPr>
        <w:jc w:val="both"/>
        <w:rPr>
          <w:rFonts w:ascii="Arial" w:hAnsi="Arial" w:cs="Arial"/>
          <w:sz w:val="20"/>
          <w:szCs w:val="20"/>
        </w:rPr>
      </w:pPr>
      <w:r>
        <w:rPr>
          <w:rFonts w:ascii="Arial" w:hAnsi="Arial" w:cs="Arial"/>
          <w:sz w:val="20"/>
          <w:szCs w:val="20"/>
        </w:rPr>
        <w:t>El precio de suscripción será de Bs. 0,80 con una prima de Bs. 0,75 por cada acción, a ser pagadas en dinero en efectivo en forma exclusiva por los señores accionistas de la compañía, de la forma siguiente:</w:t>
      </w:r>
    </w:p>
    <w:p w:rsidR="0057376A" w:rsidRDefault="0057376A" w:rsidP="0057376A">
      <w:pPr>
        <w:pStyle w:val="Default"/>
        <w:numPr>
          <w:ilvl w:val="0"/>
          <w:numId w:val="29"/>
        </w:numPr>
        <w:jc w:val="both"/>
        <w:rPr>
          <w:rFonts w:ascii="Arial" w:hAnsi="Arial" w:cs="Arial"/>
          <w:sz w:val="20"/>
          <w:szCs w:val="20"/>
        </w:rPr>
      </w:pPr>
      <w:r>
        <w:rPr>
          <w:rFonts w:ascii="Arial" w:hAnsi="Arial" w:cs="Arial"/>
          <w:sz w:val="20"/>
          <w:szCs w:val="20"/>
        </w:rPr>
        <w:t>Se ofrecerá una (01) nueva acción por cada diez (10) acciones en tenencia</w:t>
      </w:r>
    </w:p>
    <w:p w:rsidR="0057376A" w:rsidRDefault="0057376A" w:rsidP="0057376A">
      <w:pPr>
        <w:pStyle w:val="Default"/>
        <w:numPr>
          <w:ilvl w:val="0"/>
          <w:numId w:val="29"/>
        </w:numPr>
        <w:jc w:val="both"/>
        <w:rPr>
          <w:rFonts w:ascii="Arial" w:hAnsi="Arial" w:cs="Arial"/>
          <w:sz w:val="20"/>
          <w:szCs w:val="20"/>
        </w:rPr>
      </w:pPr>
      <w:r>
        <w:rPr>
          <w:rFonts w:ascii="Arial" w:hAnsi="Arial" w:cs="Arial"/>
          <w:sz w:val="20"/>
          <w:szCs w:val="20"/>
        </w:rPr>
        <w:t>Se considerarán las fracciones de acciones, las cuales se redondearán al número superior siguiente. Los accionistas que posean menos de diez (10) acciones, su fracción de acción se redondeará a una (01) acción y los que posean más de diez (10) acciones, sus fracciones se elevarán al número entero siguiente.</w:t>
      </w:r>
    </w:p>
    <w:p w:rsidR="0057376A" w:rsidRDefault="0057376A" w:rsidP="0057376A">
      <w:pPr>
        <w:pStyle w:val="Default"/>
        <w:jc w:val="both"/>
        <w:rPr>
          <w:rFonts w:ascii="Arial" w:hAnsi="Arial" w:cs="Arial"/>
          <w:sz w:val="20"/>
          <w:szCs w:val="20"/>
        </w:rPr>
      </w:pPr>
    </w:p>
    <w:p w:rsidR="003B18AD" w:rsidRPr="003B18AD" w:rsidRDefault="003B18AD" w:rsidP="003B18AD">
      <w:pPr>
        <w:pStyle w:val="Default"/>
        <w:numPr>
          <w:ilvl w:val="0"/>
          <w:numId w:val="13"/>
        </w:numPr>
        <w:jc w:val="both"/>
        <w:rPr>
          <w:rFonts w:ascii="Arial" w:hAnsi="Arial" w:cs="Arial"/>
          <w:sz w:val="20"/>
          <w:szCs w:val="20"/>
        </w:rPr>
      </w:pPr>
      <w:r w:rsidRPr="003B18AD">
        <w:rPr>
          <w:rFonts w:ascii="Arial" w:hAnsi="Arial" w:cs="Arial"/>
          <w:sz w:val="20"/>
          <w:szCs w:val="20"/>
        </w:rPr>
        <w:t xml:space="preserve">El aumento del capital social será por la cantidad de </w:t>
      </w:r>
      <w:r w:rsidR="00105B0B">
        <w:rPr>
          <w:rFonts w:ascii="Arial" w:hAnsi="Arial" w:cs="Arial"/>
          <w:sz w:val="20"/>
          <w:szCs w:val="20"/>
        </w:rPr>
        <w:t>Bs.</w:t>
      </w:r>
      <w:r w:rsidR="00B3385F">
        <w:rPr>
          <w:rFonts w:ascii="Arial" w:hAnsi="Arial" w:cs="Arial"/>
          <w:sz w:val="20"/>
          <w:szCs w:val="20"/>
        </w:rPr>
        <w:t xml:space="preserve"> 750.073,45</w:t>
      </w:r>
      <w:r w:rsidRPr="003B18AD">
        <w:rPr>
          <w:rFonts w:ascii="Arial" w:hAnsi="Arial" w:cs="Arial"/>
          <w:sz w:val="20"/>
          <w:szCs w:val="20"/>
        </w:rPr>
        <w:t xml:space="preserve"> para llevar el capital social de la compañía a la cantidad de </w:t>
      </w:r>
      <w:r w:rsidR="00105B0B">
        <w:rPr>
          <w:rFonts w:ascii="Arial" w:hAnsi="Arial" w:cs="Arial"/>
          <w:sz w:val="20"/>
          <w:szCs w:val="20"/>
        </w:rPr>
        <w:t>Bs.</w:t>
      </w:r>
      <w:r w:rsidR="00B3385F">
        <w:rPr>
          <w:rFonts w:ascii="Arial" w:hAnsi="Arial" w:cs="Arial"/>
          <w:sz w:val="20"/>
          <w:szCs w:val="20"/>
        </w:rPr>
        <w:t xml:space="preserve"> 8.250.073,45</w:t>
      </w:r>
    </w:p>
    <w:p w:rsidR="003B18AD" w:rsidRPr="003B18AD" w:rsidRDefault="003B18AD" w:rsidP="003B18AD">
      <w:pPr>
        <w:pStyle w:val="Default"/>
        <w:numPr>
          <w:ilvl w:val="0"/>
          <w:numId w:val="13"/>
        </w:numPr>
        <w:jc w:val="both"/>
        <w:rPr>
          <w:rFonts w:ascii="Arial" w:hAnsi="Arial" w:cs="Arial"/>
          <w:sz w:val="20"/>
          <w:szCs w:val="20"/>
        </w:rPr>
      </w:pPr>
      <w:r w:rsidRPr="003B18AD">
        <w:rPr>
          <w:rFonts w:ascii="Arial" w:hAnsi="Arial" w:cs="Arial"/>
          <w:sz w:val="20"/>
          <w:szCs w:val="20"/>
        </w:rPr>
        <w:t xml:space="preserve">La realización de la Oferta Pública será de </w:t>
      </w:r>
      <w:r w:rsidR="00B3385F">
        <w:rPr>
          <w:rFonts w:ascii="Arial" w:hAnsi="Arial" w:cs="Arial"/>
          <w:sz w:val="20"/>
          <w:szCs w:val="20"/>
        </w:rPr>
        <w:t xml:space="preserve">15.001.469 </w:t>
      </w:r>
      <w:r w:rsidR="00B3385F" w:rsidRPr="00326BD3">
        <w:rPr>
          <w:rFonts w:ascii="Arial" w:hAnsi="Arial" w:cs="Arial"/>
          <w:sz w:val="20"/>
          <w:szCs w:val="20"/>
        </w:rPr>
        <w:t>nuevas acciones comunes, nominativas, no convertibles al portador</w:t>
      </w:r>
      <w:r w:rsidR="00B3385F">
        <w:rPr>
          <w:rFonts w:ascii="Arial" w:hAnsi="Arial" w:cs="Arial"/>
          <w:sz w:val="20"/>
          <w:szCs w:val="20"/>
        </w:rPr>
        <w:t xml:space="preserve"> de la empresa</w:t>
      </w:r>
      <w:r w:rsidR="00B3385F" w:rsidRPr="00326BD3">
        <w:rPr>
          <w:rFonts w:ascii="Arial" w:hAnsi="Arial" w:cs="Arial"/>
          <w:sz w:val="20"/>
          <w:szCs w:val="20"/>
        </w:rPr>
        <w:t>, con un valor nominal de Bs.</w:t>
      </w:r>
      <w:r w:rsidR="00B3385F">
        <w:rPr>
          <w:rFonts w:ascii="Arial" w:hAnsi="Arial" w:cs="Arial"/>
          <w:sz w:val="20"/>
          <w:szCs w:val="20"/>
        </w:rPr>
        <w:t xml:space="preserve"> 0,05</w:t>
      </w:r>
      <w:r w:rsidR="00B3385F" w:rsidRPr="00326BD3">
        <w:rPr>
          <w:rFonts w:ascii="Arial" w:hAnsi="Arial" w:cs="Arial"/>
          <w:sz w:val="20"/>
          <w:szCs w:val="20"/>
        </w:rPr>
        <w:t xml:space="preserve"> cada</w:t>
      </w:r>
      <w:r w:rsidR="00A81492">
        <w:rPr>
          <w:rFonts w:ascii="Arial" w:hAnsi="Arial" w:cs="Arial"/>
          <w:sz w:val="20"/>
          <w:szCs w:val="20"/>
        </w:rPr>
        <w:t>.</w:t>
      </w:r>
    </w:p>
    <w:p w:rsidR="006A794C" w:rsidRPr="00B3385F" w:rsidRDefault="003B18AD" w:rsidP="00B3385F">
      <w:pPr>
        <w:pStyle w:val="Default"/>
        <w:numPr>
          <w:ilvl w:val="0"/>
          <w:numId w:val="13"/>
        </w:numPr>
        <w:jc w:val="both"/>
        <w:rPr>
          <w:rFonts w:ascii="Arial" w:hAnsi="Arial" w:cs="Arial"/>
          <w:sz w:val="20"/>
          <w:szCs w:val="20"/>
        </w:rPr>
      </w:pPr>
      <w:r w:rsidRPr="003B18AD">
        <w:rPr>
          <w:rFonts w:ascii="Arial" w:hAnsi="Arial" w:cs="Arial"/>
          <w:sz w:val="20"/>
          <w:szCs w:val="20"/>
        </w:rPr>
        <w:t xml:space="preserve">El Coordinador y líder de la colocación de la oferta pública de acciones es </w:t>
      </w:r>
      <w:proofErr w:type="spellStart"/>
      <w:r w:rsidRPr="003B18AD">
        <w:rPr>
          <w:rFonts w:ascii="Arial" w:hAnsi="Arial" w:cs="Arial"/>
          <w:sz w:val="20"/>
          <w:szCs w:val="20"/>
        </w:rPr>
        <w:t>Corimon</w:t>
      </w:r>
      <w:proofErr w:type="spellEnd"/>
      <w:r w:rsidRPr="003B18AD">
        <w:rPr>
          <w:rFonts w:ascii="Arial" w:hAnsi="Arial" w:cs="Arial"/>
          <w:sz w:val="20"/>
          <w:szCs w:val="20"/>
        </w:rPr>
        <w:t>, C.A</w:t>
      </w:r>
      <w:r w:rsidR="00B3385F">
        <w:rPr>
          <w:rFonts w:ascii="Arial" w:hAnsi="Arial" w:cs="Arial"/>
          <w:sz w:val="20"/>
          <w:szCs w:val="20"/>
        </w:rPr>
        <w:t>.</w:t>
      </w:r>
      <w:r w:rsidRPr="003B18AD">
        <w:rPr>
          <w:rFonts w:ascii="Arial" w:hAnsi="Arial" w:cs="Arial"/>
          <w:sz w:val="20"/>
          <w:szCs w:val="20"/>
        </w:rPr>
        <w:t>; en su condición de emisor.</w:t>
      </w:r>
    </w:p>
    <w:p w:rsidR="006A794C" w:rsidRPr="002245FC" w:rsidRDefault="006A794C" w:rsidP="003B18AD">
      <w:pPr>
        <w:pStyle w:val="Default"/>
        <w:numPr>
          <w:ilvl w:val="0"/>
          <w:numId w:val="13"/>
        </w:numPr>
        <w:jc w:val="both"/>
        <w:rPr>
          <w:rFonts w:ascii="Arial" w:hAnsi="Arial" w:cs="Arial"/>
          <w:sz w:val="20"/>
          <w:szCs w:val="20"/>
        </w:rPr>
      </w:pPr>
      <w:r w:rsidRPr="002245FC">
        <w:rPr>
          <w:rFonts w:ascii="Arial" w:hAnsi="Arial" w:cs="Arial"/>
          <w:sz w:val="20"/>
          <w:szCs w:val="20"/>
        </w:rPr>
        <w:t>Las fechas que rigen para registro contable y ejercicio del derecho del aumento de capital por parte de los accionistas son las siguientes:</w:t>
      </w:r>
    </w:p>
    <w:p w:rsidR="006A794C" w:rsidRPr="002245FC" w:rsidRDefault="006A794C" w:rsidP="006A794C">
      <w:pPr>
        <w:pStyle w:val="Default"/>
        <w:jc w:val="both"/>
        <w:rPr>
          <w:rFonts w:ascii="Arial" w:eastAsia="Times New Roman" w:hAnsi="Arial" w:cs="Arial"/>
          <w:color w:val="auto"/>
          <w:sz w:val="20"/>
          <w:szCs w:val="20"/>
          <w:lang w:val="es-VE" w:eastAsia="es-ES"/>
        </w:rPr>
      </w:pPr>
    </w:p>
    <w:p w:rsidR="006A794C" w:rsidRPr="002245FC" w:rsidRDefault="006A794C" w:rsidP="006A794C">
      <w:pPr>
        <w:pStyle w:val="Default"/>
        <w:numPr>
          <w:ilvl w:val="0"/>
          <w:numId w:val="26"/>
        </w:numPr>
        <w:jc w:val="both"/>
        <w:rPr>
          <w:rFonts w:ascii="Arial" w:eastAsia="Times New Roman" w:hAnsi="Arial" w:cs="Arial"/>
          <w:color w:val="auto"/>
          <w:sz w:val="20"/>
          <w:szCs w:val="20"/>
          <w:lang w:val="es-VE" w:eastAsia="es-ES"/>
        </w:rPr>
      </w:pPr>
      <w:r w:rsidRPr="002245FC">
        <w:rPr>
          <w:rFonts w:ascii="Arial" w:eastAsia="Times New Roman" w:hAnsi="Arial" w:cs="Arial"/>
          <w:color w:val="auto"/>
          <w:sz w:val="20"/>
          <w:szCs w:val="20"/>
          <w:lang w:val="es-VE" w:eastAsia="es-ES"/>
        </w:rPr>
        <w:t xml:space="preserve">Fecha Límite de Transacción con Beneficio: </w:t>
      </w:r>
      <w:r w:rsidR="00B3385F">
        <w:rPr>
          <w:rFonts w:ascii="Arial" w:eastAsia="Times New Roman" w:hAnsi="Arial" w:cs="Arial"/>
          <w:color w:val="auto"/>
          <w:sz w:val="20"/>
          <w:szCs w:val="20"/>
          <w:lang w:val="es-VE" w:eastAsia="es-ES"/>
        </w:rPr>
        <w:t>viernes</w:t>
      </w:r>
      <w:r w:rsidRPr="002245FC">
        <w:rPr>
          <w:rFonts w:ascii="Arial" w:eastAsia="Times New Roman" w:hAnsi="Arial" w:cs="Arial"/>
          <w:color w:val="auto"/>
          <w:sz w:val="20"/>
          <w:szCs w:val="20"/>
          <w:lang w:val="es-VE" w:eastAsia="es-ES"/>
        </w:rPr>
        <w:t xml:space="preserve">, </w:t>
      </w:r>
      <w:r w:rsidR="00B3385F">
        <w:rPr>
          <w:rFonts w:ascii="Arial" w:eastAsia="Times New Roman" w:hAnsi="Arial" w:cs="Arial"/>
          <w:color w:val="auto"/>
          <w:sz w:val="20"/>
          <w:szCs w:val="20"/>
          <w:lang w:val="es-VE" w:eastAsia="es-ES"/>
        </w:rPr>
        <w:t>25 de febrero de 2022</w:t>
      </w:r>
      <w:r w:rsidRPr="002245FC">
        <w:rPr>
          <w:rFonts w:ascii="Arial" w:eastAsia="Times New Roman" w:hAnsi="Arial" w:cs="Arial"/>
          <w:color w:val="auto"/>
          <w:sz w:val="20"/>
          <w:szCs w:val="20"/>
          <w:lang w:val="es-VE" w:eastAsia="es-ES"/>
        </w:rPr>
        <w:t xml:space="preserve">. </w:t>
      </w:r>
    </w:p>
    <w:p w:rsidR="006A794C" w:rsidRPr="002245FC" w:rsidRDefault="006A794C" w:rsidP="006A794C">
      <w:pPr>
        <w:pStyle w:val="Default"/>
        <w:numPr>
          <w:ilvl w:val="0"/>
          <w:numId w:val="26"/>
        </w:numPr>
        <w:jc w:val="both"/>
        <w:rPr>
          <w:rFonts w:ascii="Arial" w:eastAsia="Times New Roman" w:hAnsi="Arial" w:cs="Arial"/>
          <w:color w:val="auto"/>
          <w:sz w:val="20"/>
          <w:szCs w:val="20"/>
          <w:lang w:val="es-VE" w:eastAsia="es-ES"/>
        </w:rPr>
      </w:pPr>
      <w:r w:rsidRPr="002245FC">
        <w:rPr>
          <w:rFonts w:ascii="Arial" w:eastAsia="Times New Roman" w:hAnsi="Arial" w:cs="Arial"/>
          <w:color w:val="auto"/>
          <w:sz w:val="20"/>
          <w:szCs w:val="20"/>
          <w:lang w:val="es-VE" w:eastAsia="es-ES"/>
        </w:rPr>
        <w:t xml:space="preserve">Fecha Efectiva de Registro del Beneficio: </w:t>
      </w:r>
      <w:r w:rsidR="00B3385F">
        <w:rPr>
          <w:rFonts w:ascii="Arial" w:eastAsia="Times New Roman" w:hAnsi="Arial" w:cs="Arial"/>
          <w:color w:val="auto"/>
          <w:sz w:val="20"/>
          <w:szCs w:val="20"/>
          <w:lang w:val="es-VE" w:eastAsia="es-ES"/>
        </w:rPr>
        <w:t>lunes, 21 de marzo de 2022</w:t>
      </w:r>
      <w:r w:rsidRPr="002245FC">
        <w:rPr>
          <w:rFonts w:ascii="Arial" w:eastAsia="Times New Roman" w:hAnsi="Arial" w:cs="Arial"/>
          <w:color w:val="auto"/>
          <w:sz w:val="20"/>
          <w:szCs w:val="20"/>
          <w:lang w:val="es-VE" w:eastAsia="es-ES"/>
        </w:rPr>
        <w:t xml:space="preserve">. </w:t>
      </w:r>
    </w:p>
    <w:p w:rsidR="006A794C" w:rsidRPr="00E91A51" w:rsidRDefault="006A794C" w:rsidP="006A794C">
      <w:pPr>
        <w:pStyle w:val="Default"/>
        <w:ind w:left="720"/>
        <w:jc w:val="both"/>
        <w:rPr>
          <w:rFonts w:ascii="Arial" w:eastAsia="Times New Roman" w:hAnsi="Arial" w:cs="Arial"/>
          <w:color w:val="auto"/>
          <w:sz w:val="20"/>
          <w:szCs w:val="20"/>
          <w:lang w:val="es-VE" w:eastAsia="es-ES"/>
        </w:rPr>
      </w:pPr>
    </w:p>
    <w:p w:rsidR="003B18AD" w:rsidRDefault="003B18AD" w:rsidP="003B18AD">
      <w:pPr>
        <w:pStyle w:val="Default"/>
        <w:numPr>
          <w:ilvl w:val="0"/>
          <w:numId w:val="13"/>
        </w:numPr>
        <w:jc w:val="both"/>
        <w:rPr>
          <w:rFonts w:ascii="Arial" w:hAnsi="Arial" w:cs="Arial"/>
          <w:sz w:val="20"/>
          <w:szCs w:val="20"/>
        </w:rPr>
      </w:pPr>
      <w:r w:rsidRPr="003B18AD">
        <w:rPr>
          <w:rFonts w:ascii="Arial" w:hAnsi="Arial" w:cs="Arial"/>
          <w:sz w:val="20"/>
          <w:szCs w:val="20"/>
        </w:rPr>
        <w:t xml:space="preserve">La colocación se realizará en dos (02) Rondas de Colocación de la siguiente forma: </w:t>
      </w:r>
    </w:p>
    <w:p w:rsidR="00B645F0" w:rsidRDefault="00B645F0" w:rsidP="00B645F0">
      <w:pPr>
        <w:pStyle w:val="NormalWeb"/>
        <w:numPr>
          <w:ilvl w:val="1"/>
          <w:numId w:val="31"/>
        </w:numPr>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u w:val="single"/>
          <w:lang w:val="es-ES" w:eastAsia="en-US"/>
        </w:rPr>
        <w:t xml:space="preserve">Primera Ronda de Colocación dirigida a todos los accionistas de </w:t>
      </w:r>
      <w:proofErr w:type="spellStart"/>
      <w:r w:rsidRPr="00B645F0">
        <w:rPr>
          <w:rFonts w:ascii="Arial" w:eastAsiaTheme="minorHAnsi" w:hAnsi="Arial" w:cs="Arial"/>
          <w:color w:val="000000"/>
          <w:sz w:val="20"/>
          <w:szCs w:val="20"/>
          <w:u w:val="single"/>
          <w:lang w:val="es-ES" w:eastAsia="en-US"/>
        </w:rPr>
        <w:t>Corimon</w:t>
      </w:r>
      <w:proofErr w:type="spellEnd"/>
      <w:r w:rsidRPr="00B645F0">
        <w:rPr>
          <w:rFonts w:ascii="Arial" w:eastAsiaTheme="minorHAnsi" w:hAnsi="Arial" w:cs="Arial"/>
          <w:color w:val="000000"/>
          <w:sz w:val="20"/>
          <w:szCs w:val="20"/>
          <w:u w:val="single"/>
          <w:lang w:val="es-ES" w:eastAsia="en-US"/>
        </w:rPr>
        <w:t>, C.A:</w:t>
      </w:r>
    </w:p>
    <w:p w:rsidR="00B645F0" w:rsidRDefault="00B645F0" w:rsidP="00B645F0">
      <w:pPr>
        <w:pStyle w:val="NormalWeb"/>
        <w:ind w:left="108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En esta primera Ronda, todos los accionistas de </w:t>
      </w:r>
      <w:proofErr w:type="spellStart"/>
      <w:r w:rsidRPr="00B645F0">
        <w:rPr>
          <w:rFonts w:ascii="Arial" w:eastAsiaTheme="minorHAnsi" w:hAnsi="Arial" w:cs="Arial"/>
          <w:color w:val="000000"/>
          <w:sz w:val="20"/>
          <w:szCs w:val="20"/>
          <w:lang w:val="es-ES" w:eastAsia="en-US"/>
        </w:rPr>
        <w:t>Corimon</w:t>
      </w:r>
      <w:proofErr w:type="spellEnd"/>
      <w:r w:rsidRPr="00B645F0">
        <w:rPr>
          <w:rFonts w:ascii="Arial" w:eastAsiaTheme="minorHAnsi" w:hAnsi="Arial" w:cs="Arial"/>
          <w:color w:val="000000"/>
          <w:sz w:val="20"/>
          <w:szCs w:val="20"/>
          <w:lang w:val="es-ES" w:eastAsia="en-US"/>
        </w:rPr>
        <w:t xml:space="preserve">, C.A., registrados en el Libro de Accionistas al día 25 de febrero de 2022 podrán ejercer su derecho para suscribir la emisión de nuevas acciones, en proporción a su tenencia accionaria y de la forma siguiente: 1) Se ofrecerá una (01) nueva acción por cada diez (10) acciones que los accionistas posean en la compañía, 2) Se considerarán las fracciones de acciones, las cuales se redondearán al número superior siguiente. Los accionistas que posean menos de diez (10) acciones, su fracción de acción se redondeara a una (01) acción y los que posean más de diez (10) acciones, sus fracciones se elevaran al número entero siguiente. </w:t>
      </w:r>
    </w:p>
    <w:p w:rsidR="00B645F0" w:rsidRDefault="00B645F0" w:rsidP="00B645F0">
      <w:pPr>
        <w:pStyle w:val="NormalWeb"/>
        <w:ind w:left="108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El período de colocación de la Primera Ronda durará </w:t>
      </w:r>
      <w:r w:rsidR="00047C6D">
        <w:rPr>
          <w:rFonts w:ascii="Arial" w:eastAsiaTheme="minorHAnsi" w:hAnsi="Arial" w:cs="Arial"/>
          <w:color w:val="000000"/>
          <w:sz w:val="20"/>
          <w:szCs w:val="20"/>
          <w:lang w:val="es-ES" w:eastAsia="en-US"/>
        </w:rPr>
        <w:t>tres</w:t>
      </w:r>
      <w:r w:rsidRPr="00B645F0">
        <w:rPr>
          <w:rFonts w:ascii="Arial" w:eastAsiaTheme="minorHAnsi" w:hAnsi="Arial" w:cs="Arial"/>
          <w:color w:val="000000"/>
          <w:sz w:val="20"/>
          <w:szCs w:val="20"/>
          <w:lang w:val="es-ES" w:eastAsia="en-US"/>
        </w:rPr>
        <w:t xml:space="preserve"> (0</w:t>
      </w:r>
      <w:r w:rsidR="00047C6D">
        <w:rPr>
          <w:rFonts w:ascii="Arial" w:eastAsiaTheme="minorHAnsi" w:hAnsi="Arial" w:cs="Arial"/>
          <w:color w:val="000000"/>
          <w:sz w:val="20"/>
          <w:szCs w:val="20"/>
          <w:lang w:val="es-ES" w:eastAsia="en-US"/>
        </w:rPr>
        <w:t>3</w:t>
      </w:r>
      <w:bookmarkStart w:id="0" w:name="_GoBack"/>
      <w:bookmarkEnd w:id="0"/>
      <w:r w:rsidRPr="00B645F0">
        <w:rPr>
          <w:rFonts w:ascii="Arial" w:eastAsiaTheme="minorHAnsi" w:hAnsi="Arial" w:cs="Arial"/>
          <w:color w:val="000000"/>
          <w:sz w:val="20"/>
          <w:szCs w:val="20"/>
          <w:lang w:val="es-ES" w:eastAsia="en-US"/>
        </w:rPr>
        <w:t xml:space="preserve">) días hábiles bancarios, dentro de los cuales los accionistas de </w:t>
      </w:r>
      <w:proofErr w:type="spellStart"/>
      <w:r w:rsidRPr="00B645F0">
        <w:rPr>
          <w:rFonts w:ascii="Arial" w:eastAsiaTheme="minorHAnsi" w:hAnsi="Arial" w:cs="Arial"/>
          <w:color w:val="000000"/>
          <w:sz w:val="20"/>
          <w:szCs w:val="20"/>
          <w:lang w:val="es-ES" w:eastAsia="en-US"/>
        </w:rPr>
        <w:t>Corimon</w:t>
      </w:r>
      <w:proofErr w:type="spellEnd"/>
      <w:r w:rsidRPr="00B645F0">
        <w:rPr>
          <w:rFonts w:ascii="Arial" w:eastAsiaTheme="minorHAnsi" w:hAnsi="Arial" w:cs="Arial"/>
          <w:color w:val="000000"/>
          <w:sz w:val="20"/>
          <w:szCs w:val="20"/>
          <w:lang w:val="es-ES" w:eastAsia="en-US"/>
        </w:rPr>
        <w:t xml:space="preserve">, </w:t>
      </w:r>
      <w:r>
        <w:rPr>
          <w:rFonts w:ascii="Arial" w:eastAsiaTheme="minorHAnsi" w:hAnsi="Arial" w:cs="Arial"/>
          <w:color w:val="000000"/>
          <w:sz w:val="20"/>
          <w:szCs w:val="20"/>
          <w:lang w:val="es-ES" w:eastAsia="en-US"/>
        </w:rPr>
        <w:t xml:space="preserve">C.A., </w:t>
      </w:r>
      <w:r w:rsidRPr="00B645F0">
        <w:rPr>
          <w:rFonts w:ascii="Arial" w:eastAsiaTheme="minorHAnsi" w:hAnsi="Arial" w:cs="Arial"/>
          <w:color w:val="000000"/>
          <w:sz w:val="20"/>
          <w:szCs w:val="20"/>
          <w:lang w:val="es-ES" w:eastAsia="en-US"/>
        </w:rPr>
        <w:t xml:space="preserve">podrán ejercer el derecho para suscribir y pagar la diferencia de acciones que le correspondan, en dinero efectivo. Se </w:t>
      </w:r>
      <w:r w:rsidRPr="00B645F0">
        <w:rPr>
          <w:rFonts w:ascii="Arial" w:eastAsiaTheme="minorHAnsi" w:hAnsi="Arial" w:cs="Arial"/>
          <w:color w:val="000000"/>
          <w:sz w:val="20"/>
          <w:szCs w:val="20"/>
          <w:lang w:val="es-ES" w:eastAsia="en-US"/>
        </w:rPr>
        <w:lastRenderedPageBreak/>
        <w:t>entenderá que los accionistas que no ejerzan su derecho a suscribir las acciones en la Primera Ronda, o no paguen sus acciones en el plazo indicado, han renunciado a su derecho. Las fracciones de acciones restantes, si las hubiere, pasarán a formar parte del monto de acciones que serán ofrecidas, en la Segunda Ronda, a los accionistas que ya hubieran ejercido en la Primera Ronda, su derecho a la suscripción y pago de las acciones que les corresponden en proporción a su participación accionaria. El cronograma de esta primera ronda, es el siguiente:</w:t>
      </w:r>
    </w:p>
    <w:p w:rsidR="00B645F0" w:rsidRDefault="00B645F0" w:rsidP="00B645F0">
      <w:pPr>
        <w:pStyle w:val="NormalWeb"/>
        <w:numPr>
          <w:ilvl w:val="0"/>
          <w:numId w:val="32"/>
        </w:numPr>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A partir del 03-03-2022 al 07-03-2022, se abre el período de recepción y colocación de órdenes, por parte de los accionistas de la empresa, según su tenencia accionaria. </w:t>
      </w:r>
    </w:p>
    <w:p w:rsidR="00B645F0" w:rsidRDefault="00B645F0" w:rsidP="00B645F0">
      <w:pPr>
        <w:pStyle w:val="NormalWeb"/>
        <w:numPr>
          <w:ilvl w:val="0"/>
          <w:numId w:val="32"/>
        </w:numPr>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08-03-2022, fecha establecida para el pago de las acciones a suscribir. </w:t>
      </w:r>
    </w:p>
    <w:p w:rsidR="00B645F0" w:rsidRDefault="00B645F0" w:rsidP="00B645F0">
      <w:pPr>
        <w:pStyle w:val="NormalWeb"/>
        <w:numPr>
          <w:ilvl w:val="0"/>
          <w:numId w:val="32"/>
        </w:numPr>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Del 09-03-2022 al 10-03-2022, se procederá a la verificación del pago de las acciones por parte de los accionistas. </w:t>
      </w:r>
    </w:p>
    <w:p w:rsidR="00B645F0" w:rsidRDefault="00B645F0" w:rsidP="00B645F0">
      <w:pPr>
        <w:pStyle w:val="NormalWeb"/>
        <w:numPr>
          <w:ilvl w:val="0"/>
          <w:numId w:val="32"/>
        </w:numPr>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El día 21-03-2022, se procederá al registro de las acciones a cada accionista.</w:t>
      </w:r>
    </w:p>
    <w:p w:rsidR="00B645F0" w:rsidRPr="00B645F0" w:rsidRDefault="00B645F0" w:rsidP="00B645F0">
      <w:pPr>
        <w:autoSpaceDE w:val="0"/>
        <w:autoSpaceDN w:val="0"/>
        <w:adjustRightInd w:val="0"/>
        <w:ind w:left="708"/>
        <w:jc w:val="both"/>
        <w:rPr>
          <w:rFonts w:ascii="Arial" w:eastAsiaTheme="minorHAnsi" w:hAnsi="Arial" w:cs="Arial"/>
          <w:color w:val="000000"/>
          <w:sz w:val="20"/>
          <w:szCs w:val="20"/>
          <w:lang w:val="es-ES" w:eastAsia="en-US"/>
        </w:rPr>
      </w:pPr>
      <w:r>
        <w:rPr>
          <w:rFonts w:ascii="Arial" w:eastAsiaTheme="minorHAnsi" w:hAnsi="Arial" w:cs="Arial"/>
          <w:color w:val="000000"/>
          <w:sz w:val="20"/>
          <w:szCs w:val="20"/>
          <w:lang w:val="es-ES" w:eastAsia="en-US"/>
        </w:rPr>
        <w:t xml:space="preserve">6.2 </w:t>
      </w:r>
      <w:r w:rsidRPr="00B645F0">
        <w:rPr>
          <w:rFonts w:ascii="Arial" w:eastAsiaTheme="minorHAnsi" w:hAnsi="Arial" w:cs="Arial"/>
          <w:color w:val="000000"/>
          <w:sz w:val="20"/>
          <w:szCs w:val="20"/>
          <w:u w:val="single"/>
          <w:lang w:val="es-ES" w:eastAsia="en-US"/>
        </w:rPr>
        <w:t xml:space="preserve">Segunda Ronda de Colocación dirigida a los accionistas de </w:t>
      </w:r>
      <w:proofErr w:type="spellStart"/>
      <w:r w:rsidRPr="00B645F0">
        <w:rPr>
          <w:rFonts w:ascii="Arial" w:eastAsiaTheme="minorHAnsi" w:hAnsi="Arial" w:cs="Arial"/>
          <w:color w:val="000000"/>
          <w:sz w:val="20"/>
          <w:szCs w:val="20"/>
          <w:u w:val="single"/>
          <w:lang w:val="es-ES" w:eastAsia="en-US"/>
        </w:rPr>
        <w:t>Corimon</w:t>
      </w:r>
      <w:proofErr w:type="spellEnd"/>
      <w:r w:rsidRPr="00B645F0">
        <w:rPr>
          <w:rFonts w:ascii="Arial" w:eastAsiaTheme="minorHAnsi" w:hAnsi="Arial" w:cs="Arial"/>
          <w:color w:val="000000"/>
          <w:sz w:val="20"/>
          <w:szCs w:val="20"/>
          <w:u w:val="single"/>
          <w:lang w:val="es-ES" w:eastAsia="en-US"/>
        </w:rPr>
        <w:t>, C.A., que ya ejercieron su derecho en la Primera Ronda</w:t>
      </w:r>
      <w:r w:rsidRPr="00B645F0">
        <w:rPr>
          <w:rFonts w:ascii="Arial" w:eastAsiaTheme="minorHAnsi" w:hAnsi="Arial" w:cs="Arial"/>
          <w:color w:val="000000"/>
          <w:sz w:val="20"/>
          <w:szCs w:val="20"/>
          <w:lang w:val="es-ES" w:eastAsia="en-US"/>
        </w:rPr>
        <w:t xml:space="preserve">: En esta segunda Ronda, las acciones remanentes de la Primera Ronda podrán ser suscritas por todos los accionistas de </w:t>
      </w:r>
      <w:proofErr w:type="spellStart"/>
      <w:r w:rsidRPr="00B645F0">
        <w:rPr>
          <w:rFonts w:ascii="Arial" w:eastAsiaTheme="minorHAnsi" w:hAnsi="Arial" w:cs="Arial"/>
          <w:color w:val="000000"/>
          <w:sz w:val="20"/>
          <w:szCs w:val="20"/>
          <w:lang w:val="es-ES" w:eastAsia="en-US"/>
        </w:rPr>
        <w:t>Corimon</w:t>
      </w:r>
      <w:proofErr w:type="spellEnd"/>
      <w:r w:rsidRPr="00B645F0">
        <w:rPr>
          <w:rFonts w:ascii="Arial" w:eastAsiaTheme="minorHAnsi" w:hAnsi="Arial" w:cs="Arial"/>
          <w:color w:val="000000"/>
          <w:sz w:val="20"/>
          <w:szCs w:val="20"/>
          <w:lang w:val="es-ES" w:eastAsia="en-US"/>
        </w:rPr>
        <w:t xml:space="preserve">, C.A., registrados en el Libro de Accionistas al día 25 de febrero de 2022, que ya hubiesen ejercido su derecho de suscripción y compra en la Primera Ronda de Colocación, en la totalidad del porcentaje que le corresponda del aumento, según su participación accionaria. </w:t>
      </w:r>
    </w:p>
    <w:p w:rsidR="00B645F0" w:rsidRPr="00B645F0" w:rsidRDefault="00B645F0" w:rsidP="009F5E23">
      <w:pPr>
        <w:autoSpaceDE w:val="0"/>
        <w:autoSpaceDN w:val="0"/>
        <w:adjustRightInd w:val="0"/>
        <w:ind w:left="72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La colocación de las acciones disponibles para la Segunda Ronda de Colocación se realizará a través de la formación de un libro de órdenes. El cronograma de esta segunda ronda, es el siguiente:</w:t>
      </w:r>
    </w:p>
    <w:p w:rsidR="00B645F0" w:rsidRDefault="00B645F0" w:rsidP="00B645F0">
      <w:pPr>
        <w:pStyle w:val="Prrafodelista"/>
        <w:numPr>
          <w:ilvl w:val="0"/>
          <w:numId w:val="34"/>
        </w:numPr>
        <w:autoSpaceDE w:val="0"/>
        <w:autoSpaceDN w:val="0"/>
        <w:adjustRightInd w:val="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A partir del 11-03-2022 al 15-03-2022, se abre el período de recepción y colocación de órdenes, por parte de los accionistas de la empresa, según su tenencia accionaria y que hayan participado en la primera ronda. </w:t>
      </w:r>
    </w:p>
    <w:p w:rsidR="00B645F0" w:rsidRDefault="00B645F0" w:rsidP="00B645F0">
      <w:pPr>
        <w:pStyle w:val="Prrafodelista"/>
        <w:numPr>
          <w:ilvl w:val="0"/>
          <w:numId w:val="34"/>
        </w:numPr>
        <w:autoSpaceDE w:val="0"/>
        <w:autoSpaceDN w:val="0"/>
        <w:adjustRightInd w:val="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16-03-2022, fecha establecida para el pago de las acciones a suscribir.</w:t>
      </w:r>
    </w:p>
    <w:p w:rsidR="00B645F0" w:rsidRDefault="00B645F0" w:rsidP="00B645F0">
      <w:pPr>
        <w:pStyle w:val="Prrafodelista"/>
        <w:numPr>
          <w:ilvl w:val="0"/>
          <w:numId w:val="34"/>
        </w:numPr>
        <w:autoSpaceDE w:val="0"/>
        <w:autoSpaceDN w:val="0"/>
        <w:adjustRightInd w:val="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 xml:space="preserve">Del 17-03-2022 al 18-03-2022, se procederá a la verificación del pago de las acciones por parte de los accionistas. </w:t>
      </w:r>
    </w:p>
    <w:p w:rsidR="00B645F0" w:rsidRPr="00B645F0" w:rsidRDefault="00B645F0" w:rsidP="00B645F0">
      <w:pPr>
        <w:pStyle w:val="Prrafodelista"/>
        <w:numPr>
          <w:ilvl w:val="0"/>
          <w:numId w:val="34"/>
        </w:numPr>
        <w:autoSpaceDE w:val="0"/>
        <w:autoSpaceDN w:val="0"/>
        <w:adjustRightInd w:val="0"/>
        <w:jc w:val="both"/>
        <w:rPr>
          <w:rFonts w:ascii="Arial" w:eastAsiaTheme="minorHAnsi" w:hAnsi="Arial" w:cs="Arial"/>
          <w:color w:val="000000"/>
          <w:sz w:val="20"/>
          <w:szCs w:val="20"/>
          <w:lang w:val="es-ES" w:eastAsia="en-US"/>
        </w:rPr>
      </w:pPr>
      <w:r w:rsidRPr="00B645F0">
        <w:rPr>
          <w:rFonts w:ascii="Arial" w:eastAsiaTheme="minorHAnsi" w:hAnsi="Arial" w:cs="Arial"/>
          <w:color w:val="000000"/>
          <w:sz w:val="20"/>
          <w:szCs w:val="20"/>
          <w:lang w:val="es-ES" w:eastAsia="en-US"/>
        </w:rPr>
        <w:t>El día 21-03-2022, se procederá al registro de las acciones a cada accionista.</w:t>
      </w:r>
    </w:p>
    <w:p w:rsidR="00B645F0" w:rsidRPr="003B18AD" w:rsidRDefault="00B645F0" w:rsidP="00B645F0">
      <w:pPr>
        <w:pStyle w:val="Default"/>
        <w:ind w:left="1080"/>
        <w:jc w:val="both"/>
        <w:rPr>
          <w:rFonts w:ascii="Arial" w:hAnsi="Arial" w:cs="Arial"/>
          <w:sz w:val="20"/>
          <w:szCs w:val="20"/>
        </w:rPr>
      </w:pPr>
    </w:p>
    <w:p w:rsidR="003B18AD" w:rsidRPr="003B18AD" w:rsidRDefault="003B18AD" w:rsidP="00B645F0">
      <w:pPr>
        <w:pStyle w:val="Default"/>
        <w:numPr>
          <w:ilvl w:val="0"/>
          <w:numId w:val="13"/>
        </w:numPr>
        <w:jc w:val="both"/>
        <w:rPr>
          <w:rFonts w:ascii="Arial" w:hAnsi="Arial" w:cs="Arial"/>
          <w:sz w:val="20"/>
          <w:szCs w:val="20"/>
        </w:rPr>
      </w:pPr>
      <w:r w:rsidRPr="003B18AD">
        <w:rPr>
          <w:rFonts w:ascii="Arial" w:hAnsi="Arial" w:cs="Arial"/>
          <w:sz w:val="20"/>
          <w:szCs w:val="20"/>
        </w:rPr>
        <w:t>Los accionistas, interesados en adquirir las acciones deberán presentar sus órdenes en las oficinas de Corimon, C.A., Departamento de Atención al Inversionista.</w:t>
      </w:r>
    </w:p>
    <w:p w:rsidR="003B18AD" w:rsidRPr="003B18AD" w:rsidRDefault="003B18AD" w:rsidP="00B645F0">
      <w:pPr>
        <w:pStyle w:val="Default"/>
        <w:numPr>
          <w:ilvl w:val="0"/>
          <w:numId w:val="13"/>
        </w:numPr>
        <w:jc w:val="both"/>
        <w:rPr>
          <w:rFonts w:ascii="Arial" w:hAnsi="Arial" w:cs="Arial"/>
          <w:sz w:val="20"/>
          <w:szCs w:val="20"/>
        </w:rPr>
      </w:pPr>
      <w:r w:rsidRPr="003B18AD">
        <w:rPr>
          <w:rFonts w:ascii="Arial" w:hAnsi="Arial" w:cs="Arial"/>
          <w:sz w:val="20"/>
          <w:szCs w:val="20"/>
        </w:rPr>
        <w:t>Los Accionistas deberán indicar en la Orden de Compra, el número de acciones que desean suscribir, cuyo límite máximo será el número de acciones correspondientes a su proporción accionaria en el capital social de la empresa.</w:t>
      </w:r>
    </w:p>
    <w:p w:rsidR="00800675" w:rsidRPr="00800675" w:rsidRDefault="00800675" w:rsidP="00B645F0">
      <w:pPr>
        <w:pStyle w:val="Default"/>
        <w:numPr>
          <w:ilvl w:val="0"/>
          <w:numId w:val="13"/>
        </w:numPr>
        <w:jc w:val="both"/>
        <w:rPr>
          <w:rFonts w:ascii="Arial" w:hAnsi="Arial" w:cs="Arial"/>
          <w:sz w:val="20"/>
          <w:szCs w:val="20"/>
        </w:rPr>
      </w:pPr>
      <w:r w:rsidRPr="00800675">
        <w:rPr>
          <w:rFonts w:ascii="Arial" w:hAnsi="Arial" w:cs="Arial"/>
          <w:sz w:val="20"/>
          <w:szCs w:val="20"/>
        </w:rPr>
        <w:t>De no realizarse la colocación de la totalidad de las acciones que integran esta Oferta Pública de Acciones, el aumento de capital social de la empresa, será hasta por el monto efectivamente colocado.</w:t>
      </w:r>
    </w:p>
    <w:p w:rsidR="00800675" w:rsidRPr="00800675" w:rsidRDefault="009F5E23" w:rsidP="00B645F0">
      <w:pPr>
        <w:pStyle w:val="Default"/>
        <w:numPr>
          <w:ilvl w:val="0"/>
          <w:numId w:val="13"/>
        </w:numPr>
        <w:jc w:val="both"/>
        <w:rPr>
          <w:rFonts w:ascii="Arial" w:hAnsi="Arial" w:cs="Arial"/>
          <w:sz w:val="20"/>
          <w:szCs w:val="20"/>
        </w:rPr>
      </w:pPr>
      <w:r>
        <w:rPr>
          <w:rFonts w:ascii="Arial" w:hAnsi="Arial" w:cs="Arial"/>
          <w:sz w:val="20"/>
          <w:szCs w:val="20"/>
        </w:rPr>
        <w:t>Culminado e</w:t>
      </w:r>
      <w:r w:rsidR="00800675" w:rsidRPr="00800675">
        <w:rPr>
          <w:rFonts w:ascii="Arial" w:hAnsi="Arial" w:cs="Arial"/>
          <w:sz w:val="20"/>
          <w:szCs w:val="20"/>
        </w:rPr>
        <w:t>l período de verificación del pago por los inversionistas,</w:t>
      </w:r>
      <w:r>
        <w:rPr>
          <w:rFonts w:ascii="Arial" w:hAnsi="Arial" w:cs="Arial"/>
          <w:sz w:val="20"/>
          <w:szCs w:val="20"/>
        </w:rPr>
        <w:t xml:space="preserve"> la empresa </w:t>
      </w:r>
      <w:r w:rsidR="00800675" w:rsidRPr="00800675">
        <w:rPr>
          <w:rFonts w:ascii="Arial" w:hAnsi="Arial" w:cs="Arial"/>
          <w:sz w:val="20"/>
          <w:szCs w:val="20"/>
        </w:rPr>
        <w:t xml:space="preserve">enviará la información a los Agentes de Traspaso Banco </w:t>
      </w:r>
      <w:r w:rsidR="00C949D1">
        <w:rPr>
          <w:rFonts w:ascii="Arial" w:hAnsi="Arial" w:cs="Arial"/>
          <w:sz w:val="20"/>
          <w:szCs w:val="20"/>
        </w:rPr>
        <w:t>Venezolano</w:t>
      </w:r>
      <w:r w:rsidR="00800675" w:rsidRPr="00800675">
        <w:rPr>
          <w:rFonts w:ascii="Arial" w:hAnsi="Arial" w:cs="Arial"/>
          <w:sz w:val="20"/>
          <w:szCs w:val="20"/>
        </w:rPr>
        <w:t xml:space="preserve"> de Crédito</w:t>
      </w:r>
      <w:r w:rsidR="00C949D1">
        <w:rPr>
          <w:rFonts w:ascii="Arial" w:hAnsi="Arial" w:cs="Arial"/>
          <w:sz w:val="20"/>
          <w:szCs w:val="20"/>
        </w:rPr>
        <w:t>, S.A. Banco Universal</w:t>
      </w:r>
      <w:r w:rsidR="00800675" w:rsidRPr="00800675">
        <w:rPr>
          <w:rFonts w:ascii="Arial" w:hAnsi="Arial" w:cs="Arial"/>
          <w:sz w:val="20"/>
          <w:szCs w:val="20"/>
        </w:rPr>
        <w:t xml:space="preserve"> y Caja Venezolana de Valores, para que éstos entes emitan a favor de los respectivos accionistas, libres de gravámenes y/o cargas, las acciones que les hubieran sido asignadas, dejando constancia de ello en el Libro de Accionistas del Banco.</w:t>
      </w:r>
    </w:p>
    <w:p w:rsidR="00800675" w:rsidRPr="003B18AD" w:rsidRDefault="00800675" w:rsidP="00800675">
      <w:pPr>
        <w:pStyle w:val="Default"/>
        <w:jc w:val="both"/>
        <w:rPr>
          <w:rFonts w:ascii="Arial" w:hAnsi="Arial" w:cs="Arial"/>
          <w:sz w:val="20"/>
          <w:szCs w:val="20"/>
        </w:rPr>
      </w:pPr>
    </w:p>
    <w:p w:rsidR="00FB077B" w:rsidRPr="003B18AD" w:rsidRDefault="00FB077B" w:rsidP="00EE41FB">
      <w:pPr>
        <w:spacing w:after="120"/>
        <w:jc w:val="center"/>
        <w:rPr>
          <w:rFonts w:ascii="Arial" w:hAnsi="Arial" w:cs="Arial"/>
          <w:sz w:val="20"/>
          <w:szCs w:val="20"/>
          <w:lang w:val="es-ES"/>
        </w:rPr>
      </w:pPr>
    </w:p>
    <w:p w:rsidR="00EE41FB" w:rsidRPr="00B61DF9" w:rsidRDefault="00EE41FB" w:rsidP="00EE41FB">
      <w:pPr>
        <w:spacing w:after="120"/>
        <w:jc w:val="center"/>
        <w:rPr>
          <w:rFonts w:ascii="Arial" w:hAnsi="Arial" w:cs="Arial"/>
          <w:sz w:val="20"/>
          <w:szCs w:val="20"/>
          <w:lang w:val="es-MX"/>
        </w:rPr>
      </w:pPr>
      <w:r w:rsidRPr="00B61DF9">
        <w:rPr>
          <w:rFonts w:ascii="Arial" w:hAnsi="Arial" w:cs="Arial"/>
          <w:sz w:val="20"/>
          <w:szCs w:val="20"/>
          <w:lang w:val="es-MX"/>
        </w:rPr>
        <w:t xml:space="preserve">Caracas, </w:t>
      </w:r>
      <w:r w:rsidR="009F5E23">
        <w:rPr>
          <w:rFonts w:ascii="Arial" w:hAnsi="Arial" w:cs="Arial"/>
          <w:sz w:val="20"/>
          <w:szCs w:val="20"/>
          <w:lang w:val="es-MX"/>
        </w:rPr>
        <w:t>22 de febrero de 2022.</w:t>
      </w:r>
    </w:p>
    <w:p w:rsidR="00EE41FB" w:rsidRDefault="00EE41FB" w:rsidP="00EE41FB">
      <w:pPr>
        <w:spacing w:after="120"/>
        <w:jc w:val="center"/>
        <w:rPr>
          <w:rFonts w:ascii="Arial" w:hAnsi="Arial" w:cs="Arial"/>
          <w:sz w:val="20"/>
          <w:szCs w:val="20"/>
          <w:lang w:val="es-MX"/>
        </w:rPr>
      </w:pPr>
      <w:r w:rsidRPr="00B61DF9">
        <w:rPr>
          <w:rFonts w:ascii="Arial" w:hAnsi="Arial" w:cs="Arial"/>
          <w:sz w:val="20"/>
          <w:szCs w:val="20"/>
          <w:lang w:val="es-MX"/>
        </w:rPr>
        <w:t>La Junta Directiva</w:t>
      </w:r>
    </w:p>
    <w:p w:rsidR="002B3145" w:rsidRPr="002B3145" w:rsidRDefault="002B3145" w:rsidP="00EE41FB">
      <w:pPr>
        <w:spacing w:after="120"/>
        <w:jc w:val="center"/>
        <w:rPr>
          <w:rFonts w:ascii="Arial" w:hAnsi="Arial" w:cs="Arial"/>
          <w:b/>
          <w:sz w:val="22"/>
          <w:szCs w:val="22"/>
          <w:lang w:val="es-MX"/>
        </w:rPr>
      </w:pPr>
      <w:r w:rsidRPr="002B3145">
        <w:rPr>
          <w:rFonts w:ascii="Arial" w:hAnsi="Arial" w:cs="Arial"/>
          <w:b/>
          <w:sz w:val="20"/>
          <w:szCs w:val="20"/>
          <w:lang w:val="es-MX"/>
        </w:rPr>
        <w:t xml:space="preserve">Publicidad autorizada por la Superintendencia Nacional de Valores </w:t>
      </w:r>
    </w:p>
    <w:sectPr w:rsidR="002B3145" w:rsidRPr="002B3145" w:rsidSect="00B61DF9">
      <w:pgSz w:w="12240" w:h="15840" w:code="1"/>
      <w:pgMar w:top="1418" w:right="1701" w:bottom="1418" w:left="1701" w:header="720" w:footer="1361"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9F"/>
    <w:multiLevelType w:val="hybridMultilevel"/>
    <w:tmpl w:val="3566DF7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A65B8"/>
    <w:multiLevelType w:val="hybridMultilevel"/>
    <w:tmpl w:val="173497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5424D"/>
    <w:multiLevelType w:val="hybridMultilevel"/>
    <w:tmpl w:val="AEE865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062E68"/>
    <w:multiLevelType w:val="multilevel"/>
    <w:tmpl w:val="FB4C5CB6"/>
    <w:lvl w:ilvl="0">
      <w:start w:val="6"/>
      <w:numFmt w:val="decimal"/>
      <w:lvlText w:val="%1"/>
      <w:lvlJc w:val="left"/>
      <w:pPr>
        <w:ind w:left="444" w:hanging="444"/>
      </w:pPr>
      <w:rPr>
        <w:rFonts w:hint="default"/>
        <w:u w:val="single"/>
      </w:rPr>
    </w:lvl>
    <w:lvl w:ilvl="1">
      <w:start w:val="2"/>
      <w:numFmt w:val="decimal"/>
      <w:lvlText w:val="%1.%2"/>
      <w:lvlJc w:val="left"/>
      <w:pPr>
        <w:ind w:left="624" w:hanging="444"/>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 w15:restartNumberingAfterBreak="0">
    <w:nsid w:val="0EF75CD9"/>
    <w:multiLevelType w:val="multilevel"/>
    <w:tmpl w:val="89E8F9C6"/>
    <w:lvl w:ilvl="0">
      <w:start w:val="5"/>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0414786"/>
    <w:multiLevelType w:val="hybridMultilevel"/>
    <w:tmpl w:val="2A6E28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B75B5"/>
    <w:multiLevelType w:val="hybridMultilevel"/>
    <w:tmpl w:val="1D583CC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4D71E3F"/>
    <w:multiLevelType w:val="hybridMultilevel"/>
    <w:tmpl w:val="1422AC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A2553F"/>
    <w:multiLevelType w:val="hybridMultilevel"/>
    <w:tmpl w:val="47284E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6EA14C2"/>
    <w:multiLevelType w:val="hybridMultilevel"/>
    <w:tmpl w:val="344E029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A91BD9"/>
    <w:multiLevelType w:val="hybridMultilevel"/>
    <w:tmpl w:val="FFFC1E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78507A"/>
    <w:multiLevelType w:val="multilevel"/>
    <w:tmpl w:val="49968E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F9C3971"/>
    <w:multiLevelType w:val="hybridMultilevel"/>
    <w:tmpl w:val="CEE4754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26B6F55"/>
    <w:multiLevelType w:val="multilevel"/>
    <w:tmpl w:val="AB4632B0"/>
    <w:lvl w:ilvl="0">
      <w:start w:val="6"/>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4E27D02"/>
    <w:multiLevelType w:val="hybridMultilevel"/>
    <w:tmpl w:val="1F42A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2620B8"/>
    <w:multiLevelType w:val="multilevel"/>
    <w:tmpl w:val="E266EB16"/>
    <w:lvl w:ilvl="0">
      <w:start w:val="5"/>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85F50BB"/>
    <w:multiLevelType w:val="hybridMultilevel"/>
    <w:tmpl w:val="9EBCFD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A0018B"/>
    <w:multiLevelType w:val="hybridMultilevel"/>
    <w:tmpl w:val="B83664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1623CC"/>
    <w:multiLevelType w:val="hybridMultilevel"/>
    <w:tmpl w:val="DDFE0A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C1742A"/>
    <w:multiLevelType w:val="hybridMultilevel"/>
    <w:tmpl w:val="857204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543976"/>
    <w:multiLevelType w:val="hybridMultilevel"/>
    <w:tmpl w:val="4326728A"/>
    <w:lvl w:ilvl="0" w:tplc="0608CB50">
      <w:start w:val="1"/>
      <w:numFmt w:val="decimal"/>
      <w:lvlText w:val="%1."/>
      <w:lvlJc w:val="left"/>
      <w:pPr>
        <w:ind w:left="720" w:hanging="360"/>
      </w:pPr>
      <w:rPr>
        <w:rFonts w:hint="default"/>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4D805A18"/>
    <w:multiLevelType w:val="hybridMultilevel"/>
    <w:tmpl w:val="33CA248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E874B5C"/>
    <w:multiLevelType w:val="hybridMultilevel"/>
    <w:tmpl w:val="A57E552A"/>
    <w:lvl w:ilvl="0" w:tplc="8126FAAC">
      <w:start w:val="1"/>
      <w:numFmt w:val="bullet"/>
      <w:lvlText w:val=""/>
      <w:lvlJc w:val="left"/>
      <w:pPr>
        <w:tabs>
          <w:tab w:val="num" w:pos="644"/>
        </w:tabs>
        <w:ind w:left="644" w:hanging="360"/>
      </w:pPr>
      <w:rPr>
        <w:rFonts w:ascii="Wingdings" w:hAnsi="Wingdings" w:hint="default"/>
      </w:rPr>
    </w:lvl>
    <w:lvl w:ilvl="1" w:tplc="421A42C4" w:tentative="1">
      <w:start w:val="1"/>
      <w:numFmt w:val="bullet"/>
      <w:lvlText w:val=""/>
      <w:lvlJc w:val="left"/>
      <w:pPr>
        <w:tabs>
          <w:tab w:val="num" w:pos="1364"/>
        </w:tabs>
        <w:ind w:left="1364" w:hanging="360"/>
      </w:pPr>
      <w:rPr>
        <w:rFonts w:ascii="Wingdings" w:hAnsi="Wingdings" w:hint="default"/>
      </w:rPr>
    </w:lvl>
    <w:lvl w:ilvl="2" w:tplc="DE40D53C" w:tentative="1">
      <w:start w:val="1"/>
      <w:numFmt w:val="bullet"/>
      <w:lvlText w:val=""/>
      <w:lvlJc w:val="left"/>
      <w:pPr>
        <w:tabs>
          <w:tab w:val="num" w:pos="2084"/>
        </w:tabs>
        <w:ind w:left="2084" w:hanging="360"/>
      </w:pPr>
      <w:rPr>
        <w:rFonts w:ascii="Wingdings" w:hAnsi="Wingdings" w:hint="default"/>
      </w:rPr>
    </w:lvl>
    <w:lvl w:ilvl="3" w:tplc="FCB43112" w:tentative="1">
      <w:start w:val="1"/>
      <w:numFmt w:val="bullet"/>
      <w:lvlText w:val=""/>
      <w:lvlJc w:val="left"/>
      <w:pPr>
        <w:tabs>
          <w:tab w:val="num" w:pos="2804"/>
        </w:tabs>
        <w:ind w:left="2804" w:hanging="360"/>
      </w:pPr>
      <w:rPr>
        <w:rFonts w:ascii="Wingdings" w:hAnsi="Wingdings" w:hint="default"/>
      </w:rPr>
    </w:lvl>
    <w:lvl w:ilvl="4" w:tplc="D5B62CC2" w:tentative="1">
      <w:start w:val="1"/>
      <w:numFmt w:val="bullet"/>
      <w:lvlText w:val=""/>
      <w:lvlJc w:val="left"/>
      <w:pPr>
        <w:tabs>
          <w:tab w:val="num" w:pos="3524"/>
        </w:tabs>
        <w:ind w:left="3524" w:hanging="360"/>
      </w:pPr>
      <w:rPr>
        <w:rFonts w:ascii="Wingdings" w:hAnsi="Wingdings" w:hint="default"/>
      </w:rPr>
    </w:lvl>
    <w:lvl w:ilvl="5" w:tplc="99F03248" w:tentative="1">
      <w:start w:val="1"/>
      <w:numFmt w:val="bullet"/>
      <w:lvlText w:val=""/>
      <w:lvlJc w:val="left"/>
      <w:pPr>
        <w:tabs>
          <w:tab w:val="num" w:pos="4244"/>
        </w:tabs>
        <w:ind w:left="4244" w:hanging="360"/>
      </w:pPr>
      <w:rPr>
        <w:rFonts w:ascii="Wingdings" w:hAnsi="Wingdings" w:hint="default"/>
      </w:rPr>
    </w:lvl>
    <w:lvl w:ilvl="6" w:tplc="6CE6175E" w:tentative="1">
      <w:start w:val="1"/>
      <w:numFmt w:val="bullet"/>
      <w:lvlText w:val=""/>
      <w:lvlJc w:val="left"/>
      <w:pPr>
        <w:tabs>
          <w:tab w:val="num" w:pos="4964"/>
        </w:tabs>
        <w:ind w:left="4964" w:hanging="360"/>
      </w:pPr>
      <w:rPr>
        <w:rFonts w:ascii="Wingdings" w:hAnsi="Wingdings" w:hint="default"/>
      </w:rPr>
    </w:lvl>
    <w:lvl w:ilvl="7" w:tplc="D4DA3E8C" w:tentative="1">
      <w:start w:val="1"/>
      <w:numFmt w:val="bullet"/>
      <w:lvlText w:val=""/>
      <w:lvlJc w:val="left"/>
      <w:pPr>
        <w:tabs>
          <w:tab w:val="num" w:pos="5684"/>
        </w:tabs>
        <w:ind w:left="5684" w:hanging="360"/>
      </w:pPr>
      <w:rPr>
        <w:rFonts w:ascii="Wingdings" w:hAnsi="Wingdings" w:hint="default"/>
      </w:rPr>
    </w:lvl>
    <w:lvl w:ilvl="8" w:tplc="DB0CEA1A"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1276C9"/>
    <w:multiLevelType w:val="hybridMultilevel"/>
    <w:tmpl w:val="9034C5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CF1748"/>
    <w:multiLevelType w:val="hybridMultilevel"/>
    <w:tmpl w:val="6B48193C"/>
    <w:lvl w:ilvl="0" w:tplc="856054B2">
      <w:start w:val="1"/>
      <w:numFmt w:val="decimal"/>
      <w:lvlText w:val="%1."/>
      <w:lvlJc w:val="left"/>
      <w:pPr>
        <w:ind w:left="360" w:hanging="360"/>
      </w:pPr>
      <w:rPr>
        <w:rFonts w:ascii="Bookman Old Style" w:eastAsia="Times New Roman" w:hAnsi="Bookman Old Style"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AD60E32"/>
    <w:multiLevelType w:val="hybridMultilevel"/>
    <w:tmpl w:val="6D14F14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64B96853"/>
    <w:multiLevelType w:val="hybridMultilevel"/>
    <w:tmpl w:val="0B541BA8"/>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6682641A"/>
    <w:multiLevelType w:val="hybridMultilevel"/>
    <w:tmpl w:val="E87A57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AE6041"/>
    <w:multiLevelType w:val="multilevel"/>
    <w:tmpl w:val="D2B8543C"/>
    <w:lvl w:ilvl="0">
      <w:start w:val="6"/>
      <w:numFmt w:val="decimal"/>
      <w:lvlText w:val="%1"/>
      <w:lvlJc w:val="left"/>
      <w:pPr>
        <w:ind w:left="360" w:hanging="360"/>
      </w:pPr>
      <w:rPr>
        <w:rFonts w:eastAsia="Times New Roman" w:hint="default"/>
        <w:color w:val="auto"/>
      </w:rPr>
    </w:lvl>
    <w:lvl w:ilvl="1">
      <w:start w:val="1"/>
      <w:numFmt w:val="decimal"/>
      <w:lvlText w:val="%1.%2"/>
      <w:lvlJc w:val="left"/>
      <w:pPr>
        <w:ind w:left="1069" w:hanging="36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2880" w:hanging="72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4680" w:hanging="108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480" w:hanging="144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29" w15:restartNumberingAfterBreak="0">
    <w:nsid w:val="67D4741F"/>
    <w:multiLevelType w:val="multilevel"/>
    <w:tmpl w:val="3CE8060A"/>
    <w:lvl w:ilvl="0">
      <w:start w:val="6"/>
      <w:numFmt w:val="decimal"/>
      <w:lvlText w:val="%1"/>
      <w:lvlJc w:val="left"/>
      <w:pPr>
        <w:ind w:left="444" w:hanging="444"/>
      </w:pPr>
      <w:rPr>
        <w:rFonts w:hint="default"/>
        <w:u w:val="single"/>
      </w:rPr>
    </w:lvl>
    <w:lvl w:ilvl="1">
      <w:start w:val="1"/>
      <w:numFmt w:val="decimal"/>
      <w:lvlText w:val="%1.%2"/>
      <w:lvlJc w:val="left"/>
      <w:pPr>
        <w:ind w:left="624" w:hanging="444"/>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0" w15:restartNumberingAfterBreak="0">
    <w:nsid w:val="6A2965C9"/>
    <w:multiLevelType w:val="hybridMultilevel"/>
    <w:tmpl w:val="385A32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6C3BFC"/>
    <w:multiLevelType w:val="multilevel"/>
    <w:tmpl w:val="AB4632B0"/>
    <w:lvl w:ilvl="0">
      <w:start w:val="6"/>
      <w:numFmt w:val="decimal"/>
      <w:lvlText w:val="%1"/>
      <w:lvlJc w:val="left"/>
      <w:pPr>
        <w:ind w:left="576" w:hanging="576"/>
      </w:pPr>
      <w:rPr>
        <w:rFonts w:hint="default"/>
      </w:rPr>
    </w:lvl>
    <w:lvl w:ilvl="1">
      <w:start w:val="2"/>
      <w:numFmt w:val="decimal"/>
      <w:lvlText w:val="%1.%2"/>
      <w:lvlJc w:val="left"/>
      <w:pPr>
        <w:ind w:left="75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A23726C"/>
    <w:multiLevelType w:val="multilevel"/>
    <w:tmpl w:val="BB485E6E"/>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33" w15:restartNumberingAfterBreak="0">
    <w:nsid w:val="7B210028"/>
    <w:multiLevelType w:val="multilevel"/>
    <w:tmpl w:val="69DCBB92"/>
    <w:lvl w:ilvl="0">
      <w:start w:val="1"/>
      <w:numFmt w:val="decimal"/>
      <w:lvlText w:val="%1."/>
      <w:lvlJc w:val="left"/>
      <w:pPr>
        <w:ind w:left="72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num w:numId="1">
    <w:abstractNumId w:val="22"/>
  </w:num>
  <w:num w:numId="2">
    <w:abstractNumId w:val="20"/>
  </w:num>
  <w:num w:numId="3">
    <w:abstractNumId w:val="24"/>
  </w:num>
  <w:num w:numId="4">
    <w:abstractNumId w:val="12"/>
  </w:num>
  <w:num w:numId="5">
    <w:abstractNumId w:val="19"/>
  </w:num>
  <w:num w:numId="6">
    <w:abstractNumId w:val="2"/>
  </w:num>
  <w:num w:numId="7">
    <w:abstractNumId w:val="6"/>
  </w:num>
  <w:num w:numId="8">
    <w:abstractNumId w:val="30"/>
  </w:num>
  <w:num w:numId="9">
    <w:abstractNumId w:val="8"/>
  </w:num>
  <w:num w:numId="10">
    <w:abstractNumId w:val="17"/>
  </w:num>
  <w:num w:numId="11">
    <w:abstractNumId w:val="14"/>
  </w:num>
  <w:num w:numId="12">
    <w:abstractNumId w:val="27"/>
  </w:num>
  <w:num w:numId="13">
    <w:abstractNumId w:val="33"/>
  </w:num>
  <w:num w:numId="14">
    <w:abstractNumId w:val="13"/>
  </w:num>
  <w:num w:numId="15">
    <w:abstractNumId w:val="1"/>
  </w:num>
  <w:num w:numId="16">
    <w:abstractNumId w:val="18"/>
  </w:num>
  <w:num w:numId="17">
    <w:abstractNumId w:val="16"/>
  </w:num>
  <w:num w:numId="18">
    <w:abstractNumId w:val="31"/>
  </w:num>
  <w:num w:numId="19">
    <w:abstractNumId w:val="4"/>
  </w:num>
  <w:num w:numId="20">
    <w:abstractNumId w:val="15"/>
  </w:num>
  <w:num w:numId="21">
    <w:abstractNumId w:val="23"/>
  </w:num>
  <w:num w:numId="22">
    <w:abstractNumId w:val="9"/>
  </w:num>
  <w:num w:numId="23">
    <w:abstractNumId w:val="10"/>
  </w:num>
  <w:num w:numId="24">
    <w:abstractNumId w:val="5"/>
  </w:num>
  <w:num w:numId="25">
    <w:abstractNumId w:val="11"/>
  </w:num>
  <w:num w:numId="26">
    <w:abstractNumId w:val="32"/>
  </w:num>
  <w:num w:numId="27">
    <w:abstractNumId w:val="29"/>
  </w:num>
  <w:num w:numId="28">
    <w:abstractNumId w:val="3"/>
  </w:num>
  <w:num w:numId="29">
    <w:abstractNumId w:val="25"/>
  </w:num>
  <w:num w:numId="30">
    <w:abstractNumId w:val="0"/>
  </w:num>
  <w:num w:numId="31">
    <w:abstractNumId w:val="28"/>
  </w:num>
  <w:num w:numId="32">
    <w:abstractNumId w:val="26"/>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FB"/>
    <w:rsid w:val="00047C6D"/>
    <w:rsid w:val="000B09C3"/>
    <w:rsid w:val="00105B0B"/>
    <w:rsid w:val="001323BC"/>
    <w:rsid w:val="00143452"/>
    <w:rsid w:val="0020576B"/>
    <w:rsid w:val="002245FC"/>
    <w:rsid w:val="00226859"/>
    <w:rsid w:val="002B3145"/>
    <w:rsid w:val="00326BD3"/>
    <w:rsid w:val="00356F72"/>
    <w:rsid w:val="003B18AD"/>
    <w:rsid w:val="00496227"/>
    <w:rsid w:val="004C0147"/>
    <w:rsid w:val="0057376A"/>
    <w:rsid w:val="005F41F7"/>
    <w:rsid w:val="006820D9"/>
    <w:rsid w:val="006A794C"/>
    <w:rsid w:val="007053E2"/>
    <w:rsid w:val="007A1CE0"/>
    <w:rsid w:val="007F02F0"/>
    <w:rsid w:val="00800675"/>
    <w:rsid w:val="008930F7"/>
    <w:rsid w:val="009514C0"/>
    <w:rsid w:val="009F5E23"/>
    <w:rsid w:val="00A81492"/>
    <w:rsid w:val="00AA794C"/>
    <w:rsid w:val="00AD78CA"/>
    <w:rsid w:val="00B3385F"/>
    <w:rsid w:val="00B61DF9"/>
    <w:rsid w:val="00B64540"/>
    <w:rsid w:val="00B645F0"/>
    <w:rsid w:val="00BF4354"/>
    <w:rsid w:val="00C2785D"/>
    <w:rsid w:val="00C62C4A"/>
    <w:rsid w:val="00C66461"/>
    <w:rsid w:val="00C949D1"/>
    <w:rsid w:val="00D60935"/>
    <w:rsid w:val="00DC4C12"/>
    <w:rsid w:val="00DE08E1"/>
    <w:rsid w:val="00E0524A"/>
    <w:rsid w:val="00E57305"/>
    <w:rsid w:val="00E77A20"/>
    <w:rsid w:val="00E77C61"/>
    <w:rsid w:val="00E91A51"/>
    <w:rsid w:val="00EE41FB"/>
    <w:rsid w:val="00F573A3"/>
    <w:rsid w:val="00FB077B"/>
    <w:rsid w:val="00FC16D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948B"/>
  <w15:docId w15:val="{CB864BF6-6DDC-48B9-87F4-AD1E818E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EE41FB"/>
  </w:style>
  <w:style w:type="paragraph" w:styleId="Textoindependiente">
    <w:name w:val="Body Text"/>
    <w:basedOn w:val="Normal"/>
    <w:link w:val="TextoindependienteCar"/>
    <w:rsid w:val="00EE41FB"/>
    <w:pPr>
      <w:spacing w:line="360" w:lineRule="auto"/>
      <w:jc w:val="both"/>
    </w:pPr>
    <w:rPr>
      <w:sz w:val="26"/>
      <w:lang w:val="es-MX"/>
    </w:rPr>
  </w:style>
  <w:style w:type="character" w:customStyle="1" w:styleId="TextoindependienteCar">
    <w:name w:val="Texto independiente Car"/>
    <w:basedOn w:val="Fuentedeprrafopredeter"/>
    <w:link w:val="Textoindependiente"/>
    <w:rsid w:val="00EE41FB"/>
    <w:rPr>
      <w:rFonts w:ascii="Times New Roman" w:eastAsia="Times New Roman" w:hAnsi="Times New Roman" w:cs="Times New Roman"/>
      <w:sz w:val="26"/>
      <w:szCs w:val="24"/>
      <w:lang w:val="es-MX" w:eastAsia="es-ES"/>
    </w:rPr>
  </w:style>
  <w:style w:type="paragraph" w:styleId="Textodeglobo">
    <w:name w:val="Balloon Text"/>
    <w:basedOn w:val="Normal"/>
    <w:link w:val="TextodegloboCar"/>
    <w:uiPriority w:val="99"/>
    <w:semiHidden/>
    <w:unhideWhenUsed/>
    <w:rsid w:val="00EE41FB"/>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1FB"/>
    <w:rPr>
      <w:rFonts w:ascii="Tahoma" w:eastAsia="Times New Roman" w:hAnsi="Tahoma" w:cs="Tahoma"/>
      <w:sz w:val="16"/>
      <w:szCs w:val="16"/>
      <w:lang w:eastAsia="es-ES"/>
    </w:rPr>
  </w:style>
  <w:style w:type="paragraph" w:customStyle="1" w:styleId="Style1">
    <w:name w:val="Style 1"/>
    <w:basedOn w:val="Normal"/>
    <w:uiPriority w:val="99"/>
    <w:rsid w:val="00C2785D"/>
    <w:pPr>
      <w:widowControl w:val="0"/>
      <w:autoSpaceDE w:val="0"/>
      <w:autoSpaceDN w:val="0"/>
      <w:adjustRightInd w:val="0"/>
    </w:pPr>
    <w:rPr>
      <w:lang w:val="en-US" w:eastAsia="es-VE"/>
    </w:rPr>
  </w:style>
  <w:style w:type="paragraph" w:styleId="Lista2">
    <w:name w:val="List 2"/>
    <w:basedOn w:val="Normal"/>
    <w:rsid w:val="005F41F7"/>
    <w:pPr>
      <w:ind w:left="566" w:hanging="283"/>
    </w:pPr>
    <w:rPr>
      <w:sz w:val="20"/>
      <w:szCs w:val="20"/>
    </w:rPr>
  </w:style>
  <w:style w:type="paragraph" w:styleId="NormalWeb">
    <w:name w:val="Normal (Web)"/>
    <w:basedOn w:val="Normal"/>
    <w:uiPriority w:val="99"/>
    <w:rsid w:val="005F41F7"/>
    <w:pPr>
      <w:spacing w:before="100" w:beforeAutospacing="1" w:after="100" w:afterAutospacing="1"/>
    </w:pPr>
  </w:style>
  <w:style w:type="paragraph" w:styleId="Textoindependiente3">
    <w:name w:val="Body Text 3"/>
    <w:basedOn w:val="Normal"/>
    <w:link w:val="Textoindependiente3Car"/>
    <w:uiPriority w:val="99"/>
    <w:semiHidden/>
    <w:unhideWhenUsed/>
    <w:rsid w:val="00E77C6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77C61"/>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B61DF9"/>
    <w:pPr>
      <w:ind w:left="720"/>
      <w:contextualSpacing/>
    </w:pPr>
  </w:style>
  <w:style w:type="paragraph" w:customStyle="1" w:styleId="Default">
    <w:name w:val="Default"/>
    <w:rsid w:val="00326BD3"/>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customStyle="1" w:styleId="Pa11">
    <w:name w:val="Pa11"/>
    <w:basedOn w:val="Default"/>
    <w:next w:val="Default"/>
    <w:uiPriority w:val="99"/>
    <w:rsid w:val="00800675"/>
    <w:pPr>
      <w:spacing w:line="201" w:lineRule="atLeast"/>
    </w:pPr>
    <w:rPr>
      <w:rFonts w:ascii="HelveticaNeueLT Std" w:hAnsi="HelveticaNeueLT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36C7-5298-4AF3-9891-D657140B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aibarra</dc:creator>
  <cp:lastModifiedBy>Gabriela Briceno</cp:lastModifiedBy>
  <cp:revision>3</cp:revision>
  <dcterms:created xsi:type="dcterms:W3CDTF">2022-02-22T13:52:00Z</dcterms:created>
  <dcterms:modified xsi:type="dcterms:W3CDTF">2022-02-22T15:22:00Z</dcterms:modified>
</cp:coreProperties>
</file>