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2B2EC" w14:textId="77777777" w:rsidR="00F25C53" w:rsidRDefault="00F25C53" w:rsidP="00F25C53">
      <w:pPr>
        <w:tabs>
          <w:tab w:val="center" w:pos="4549"/>
          <w:tab w:val="left" w:pos="6223"/>
        </w:tabs>
        <w:spacing w:line="480" w:lineRule="exact"/>
        <w:jc w:val="center"/>
        <w:rPr>
          <w:rFonts w:ascii="Bookman Old Style" w:hAnsi="Bookman Old Style" w:cs="Arial"/>
        </w:rPr>
      </w:pPr>
      <w:r w:rsidRPr="000B30FF">
        <w:rPr>
          <w:rFonts w:ascii="Bookman Old Style" w:hAnsi="Bookman Old Style" w:cs="Arial"/>
          <w:noProof/>
          <w:lang w:val="es-ES"/>
        </w:rPr>
        <mc:AlternateContent>
          <mc:Choice Requires="wpg">
            <w:drawing>
              <wp:inline distT="0" distB="0" distL="0" distR="0" wp14:anchorId="79D05203" wp14:editId="47E7471C">
                <wp:extent cx="815340" cy="350520"/>
                <wp:effectExtent l="0" t="0" r="3810" b="0"/>
                <wp:docPr id="3392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5340" cy="350520"/>
                          <a:chOff x="0" y="0"/>
                          <a:chExt cx="1182" cy="668"/>
                        </a:xfrm>
                      </wpg:grpSpPr>
                      <wps:wsp>
                        <wps:cNvPr id="3" name="Freeform 10"/>
                        <wps:cNvSpPr>
                          <a:spLocks noChangeAspect="1"/>
                        </wps:cNvSpPr>
                        <wps:spPr bwMode="auto">
                          <a:xfrm>
                            <a:off x="445" y="0"/>
                            <a:ext cx="345" cy="279"/>
                          </a:xfrm>
                          <a:custGeom>
                            <a:avLst/>
                            <a:gdLst>
                              <a:gd name="T0" fmla="*/ 0 w 345"/>
                              <a:gd name="T1" fmla="*/ 0 h 279"/>
                              <a:gd name="T2" fmla="*/ 345 w 345"/>
                              <a:gd name="T3" fmla="*/ 0 h 279"/>
                              <a:gd name="T4" fmla="*/ 162 w 345"/>
                              <a:gd name="T5" fmla="*/ 279 h 279"/>
                              <a:gd name="T6" fmla="*/ 0 w 345"/>
                              <a:gd name="T7" fmla="*/ 0 h 279"/>
                              <a:gd name="T8" fmla="*/ 0 60000 65536"/>
                              <a:gd name="T9" fmla="*/ 0 60000 65536"/>
                              <a:gd name="T10" fmla="*/ 0 60000 65536"/>
                              <a:gd name="T11" fmla="*/ 0 60000 65536"/>
                              <a:gd name="T12" fmla="*/ 0 w 345"/>
                              <a:gd name="T13" fmla="*/ 0 h 279"/>
                              <a:gd name="T14" fmla="*/ 345 w 345"/>
                              <a:gd name="T15" fmla="*/ 279 h 279"/>
                            </a:gdLst>
                            <a:ahLst/>
                            <a:cxnLst>
                              <a:cxn ang="T8">
                                <a:pos x="T0" y="T1"/>
                              </a:cxn>
                              <a:cxn ang="T9">
                                <a:pos x="T2" y="T3"/>
                              </a:cxn>
                              <a:cxn ang="T10">
                                <a:pos x="T4" y="T5"/>
                              </a:cxn>
                              <a:cxn ang="T11">
                                <a:pos x="T6" y="T7"/>
                              </a:cxn>
                            </a:cxnLst>
                            <a:rect l="T12" t="T13" r="T14" b="T15"/>
                            <a:pathLst>
                              <a:path w="345" h="279">
                                <a:moveTo>
                                  <a:pt x="0" y="0"/>
                                </a:moveTo>
                                <a:lnTo>
                                  <a:pt x="345" y="0"/>
                                </a:lnTo>
                                <a:lnTo>
                                  <a:pt x="162" y="279"/>
                                </a:lnTo>
                                <a:lnTo>
                                  <a:pt x="0" y="0"/>
                                </a:lnTo>
                                <a:close/>
                              </a:path>
                            </a:pathLst>
                          </a:custGeom>
                          <a:solidFill>
                            <a:srgbClr val="FF0000"/>
                          </a:solidFill>
                          <a:ln w="3175">
                            <a:noFill/>
                            <a:round/>
                            <a:headEnd/>
                            <a:tailEnd/>
                          </a:ln>
                        </wps:spPr>
                        <wps:bodyPr/>
                      </wps:wsp>
                      <wps:wsp>
                        <wps:cNvPr id="4" name="Freeform 11"/>
                        <wps:cNvSpPr>
                          <a:spLocks noChangeAspect="1"/>
                        </wps:cNvSpPr>
                        <wps:spPr bwMode="auto">
                          <a:xfrm>
                            <a:off x="632" y="41"/>
                            <a:ext cx="550" cy="627"/>
                          </a:xfrm>
                          <a:custGeom>
                            <a:avLst/>
                            <a:gdLst>
                              <a:gd name="T0" fmla="*/ 0 w 550"/>
                              <a:gd name="T1" fmla="*/ 275 h 627"/>
                              <a:gd name="T2" fmla="*/ 179 w 550"/>
                              <a:gd name="T3" fmla="*/ 0 h 627"/>
                              <a:gd name="T4" fmla="*/ 550 w 550"/>
                              <a:gd name="T5" fmla="*/ 627 h 627"/>
                              <a:gd name="T6" fmla="*/ 211 w 550"/>
                              <a:gd name="T7" fmla="*/ 627 h 627"/>
                              <a:gd name="T8" fmla="*/ 0 w 550"/>
                              <a:gd name="T9" fmla="*/ 275 h 627"/>
                              <a:gd name="T10" fmla="*/ 0 60000 65536"/>
                              <a:gd name="T11" fmla="*/ 0 60000 65536"/>
                              <a:gd name="T12" fmla="*/ 0 60000 65536"/>
                              <a:gd name="T13" fmla="*/ 0 60000 65536"/>
                              <a:gd name="T14" fmla="*/ 0 60000 65536"/>
                              <a:gd name="T15" fmla="*/ 0 w 550"/>
                              <a:gd name="T16" fmla="*/ 0 h 627"/>
                              <a:gd name="T17" fmla="*/ 550 w 550"/>
                              <a:gd name="T18" fmla="*/ 627 h 627"/>
                            </a:gdLst>
                            <a:ahLst/>
                            <a:cxnLst>
                              <a:cxn ang="T10">
                                <a:pos x="T0" y="T1"/>
                              </a:cxn>
                              <a:cxn ang="T11">
                                <a:pos x="T2" y="T3"/>
                              </a:cxn>
                              <a:cxn ang="T12">
                                <a:pos x="T4" y="T5"/>
                              </a:cxn>
                              <a:cxn ang="T13">
                                <a:pos x="T6" y="T7"/>
                              </a:cxn>
                              <a:cxn ang="T14">
                                <a:pos x="T8" y="T9"/>
                              </a:cxn>
                            </a:cxnLst>
                            <a:rect l="T15" t="T16" r="T17" b="T18"/>
                            <a:pathLst>
                              <a:path w="550" h="627">
                                <a:moveTo>
                                  <a:pt x="0" y="275"/>
                                </a:moveTo>
                                <a:lnTo>
                                  <a:pt x="179" y="0"/>
                                </a:lnTo>
                                <a:lnTo>
                                  <a:pt x="550" y="627"/>
                                </a:lnTo>
                                <a:lnTo>
                                  <a:pt x="211" y="627"/>
                                </a:lnTo>
                                <a:lnTo>
                                  <a:pt x="0" y="275"/>
                                </a:lnTo>
                                <a:close/>
                              </a:path>
                            </a:pathLst>
                          </a:custGeom>
                          <a:solidFill>
                            <a:srgbClr val="FF0000"/>
                          </a:solidFill>
                          <a:ln w="3175">
                            <a:noFill/>
                            <a:round/>
                            <a:headEnd/>
                            <a:tailEnd/>
                          </a:ln>
                        </wps:spPr>
                        <wps:bodyPr/>
                      </wps:wsp>
                      <wps:wsp>
                        <wps:cNvPr id="5" name="Freeform 12"/>
                        <wps:cNvSpPr>
                          <a:spLocks noChangeAspect="1"/>
                        </wps:cNvSpPr>
                        <wps:spPr bwMode="auto">
                          <a:xfrm>
                            <a:off x="0" y="0"/>
                            <a:ext cx="784" cy="666"/>
                          </a:xfrm>
                          <a:custGeom>
                            <a:avLst/>
                            <a:gdLst>
                              <a:gd name="T0" fmla="*/ 396 w 784"/>
                              <a:gd name="T1" fmla="*/ 0 h 666"/>
                              <a:gd name="T2" fmla="*/ 784 w 784"/>
                              <a:gd name="T3" fmla="*/ 666 h 666"/>
                              <a:gd name="T4" fmla="*/ 0 w 784"/>
                              <a:gd name="T5" fmla="*/ 666 h 666"/>
                              <a:gd name="T6" fmla="*/ 396 w 784"/>
                              <a:gd name="T7" fmla="*/ 0 h 666"/>
                              <a:gd name="T8" fmla="*/ 0 60000 65536"/>
                              <a:gd name="T9" fmla="*/ 0 60000 65536"/>
                              <a:gd name="T10" fmla="*/ 0 60000 65536"/>
                              <a:gd name="T11" fmla="*/ 0 60000 65536"/>
                              <a:gd name="T12" fmla="*/ 0 w 784"/>
                              <a:gd name="T13" fmla="*/ 0 h 666"/>
                              <a:gd name="T14" fmla="*/ 784 w 784"/>
                              <a:gd name="T15" fmla="*/ 666 h 666"/>
                            </a:gdLst>
                            <a:ahLst/>
                            <a:cxnLst>
                              <a:cxn ang="T8">
                                <a:pos x="T0" y="T1"/>
                              </a:cxn>
                              <a:cxn ang="T9">
                                <a:pos x="T2" y="T3"/>
                              </a:cxn>
                              <a:cxn ang="T10">
                                <a:pos x="T4" y="T5"/>
                              </a:cxn>
                              <a:cxn ang="T11">
                                <a:pos x="T6" y="T7"/>
                              </a:cxn>
                            </a:cxnLst>
                            <a:rect l="T12" t="T13" r="T14" b="T15"/>
                            <a:pathLst>
                              <a:path w="784" h="666">
                                <a:moveTo>
                                  <a:pt x="396" y="0"/>
                                </a:moveTo>
                                <a:lnTo>
                                  <a:pt x="784" y="666"/>
                                </a:lnTo>
                                <a:lnTo>
                                  <a:pt x="0" y="666"/>
                                </a:lnTo>
                                <a:lnTo>
                                  <a:pt x="396" y="0"/>
                                </a:lnTo>
                                <a:close/>
                              </a:path>
                            </a:pathLst>
                          </a:custGeom>
                          <a:solidFill>
                            <a:srgbClr val="FF0000"/>
                          </a:solidFill>
                          <a:ln w="3175">
                            <a:noFill/>
                            <a:round/>
                            <a:headEnd/>
                            <a:tailEnd/>
                          </a:ln>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F7D2D67" id="Group 9" o:spid="_x0000_s1026" style="width:64.2pt;height:27.6pt;mso-position-horizontal-relative:char;mso-position-vertical-relative:line" coordsize="118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">
                <v:shape id="Freeform 10" o:spid="_x0000_s1027" style="position:absolute;left:445;width:345;height:279;visibility:visible;mso-wrap-style:square;v-text-anchor:top" coordsize="345,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" path="m,l345,,162,279,,xe" fillcolor="red" stroked="f" strokeweight=".25pt">
                  <v:path arrowok="t" o:connecttype="custom" o:connectlocs="0,0;345,0;162,279;0,0" o:connectangles="0,0,0,0" textboxrect="0,0,345,279"/>
                  <o:lock v:ext="edit" aspectratio="t"/>
                </v:shape>
                <v:shape id="Freeform 11" o:spid="_x0000_s1028" style="position:absolute;left:632;top:41;width:550;height:627;visibility:visible;mso-wrap-style:square;v-text-anchor:top" coordsize="550,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" path="m,275l179,,550,627r-339,l,275xe" fillcolor="red" stroked="f" strokeweight=".25pt">
                  <v:path arrowok="t" o:connecttype="custom" o:connectlocs="0,275;179,0;550,627;211,627;0,275" o:connectangles="0,0,0,0,0" textboxrect="0,0,550,627"/>
                  <o:lock v:ext="edit" aspectratio="t"/>
                </v:shape>
                <v:shape id="Freeform 12" o:spid="_x0000_s1029" style="position:absolute;width:784;height:666;visibility:visible;mso-wrap-style:square;v-text-anchor:top" coordsize="784,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" path="m396,l784,666,,666,396,xe" fillcolor="red" stroked="f" strokeweight=".25pt">
                  <v:path arrowok="t" o:connecttype="custom" o:connectlocs="396,0;784,666;0,666;396,0" o:connectangles="0,0,0,0" textboxrect="0,0,784,666"/>
                  <o:lock v:ext="edit" aspectratio="t"/>
                </v:shape>
                <w10:anchorlock/>
              </v:group>
            </w:pict>
          </mc:Fallback>
        </mc:AlternateContent>
      </w:r>
      <w:r w:rsidRPr="00760AEC">
        <w:rPr>
          <w:rFonts w:ascii="Bookman Old Style" w:hAnsi="Bookman Old Style" w:cs="Arial"/>
        </w:rPr>
        <w:t xml:space="preserve"> </w:t>
      </w:r>
    </w:p>
    <w:p w14:paraId="5BC639C0" w14:textId="1F8D5BAD" w:rsidR="00F25C53" w:rsidRPr="00760AEC" w:rsidRDefault="00F25C53" w:rsidP="00F25C53">
      <w:pPr>
        <w:tabs>
          <w:tab w:val="center" w:pos="4549"/>
          <w:tab w:val="left" w:pos="6223"/>
        </w:tabs>
        <w:spacing w:line="480" w:lineRule="exact"/>
        <w:jc w:val="center"/>
        <w:rPr>
          <w:rFonts w:ascii="Bookman Old Style" w:hAnsi="Bookman Old Style" w:cs="Arial"/>
        </w:rPr>
      </w:pPr>
      <w:r w:rsidRPr="00760AEC">
        <w:rPr>
          <w:rFonts w:ascii="Bookman Old Style" w:hAnsi="Bookman Old Style" w:cs="Arial"/>
        </w:rPr>
        <w:t>“CORIMON, C.A.”</w:t>
      </w:r>
    </w:p>
    <w:p w14:paraId="5EA25569" w14:textId="77777777" w:rsidR="00F25C53" w:rsidRPr="00760AEC" w:rsidRDefault="00F25C53" w:rsidP="00F25C53">
      <w:pPr>
        <w:tabs>
          <w:tab w:val="center" w:pos="4549"/>
          <w:tab w:val="left" w:pos="6223"/>
        </w:tabs>
        <w:spacing w:line="480" w:lineRule="exact"/>
        <w:jc w:val="center"/>
        <w:rPr>
          <w:rFonts w:ascii="Bookman Old Style" w:hAnsi="Bookman Old Style" w:cs="Arial"/>
        </w:rPr>
      </w:pPr>
      <w:r w:rsidRPr="00760AEC">
        <w:rPr>
          <w:rFonts w:ascii="Bookman Old Style" w:hAnsi="Bookman Old Style" w:cs="Arial"/>
        </w:rPr>
        <w:t>CAPITAL AUTORIZADO: Bs. 2,00</w:t>
      </w:r>
    </w:p>
    <w:p w14:paraId="14B3951C" w14:textId="77777777" w:rsidR="00F25C53" w:rsidRPr="00760AEC" w:rsidRDefault="00F25C53" w:rsidP="00F25C53">
      <w:pPr>
        <w:tabs>
          <w:tab w:val="center" w:pos="4549"/>
          <w:tab w:val="left" w:pos="6223"/>
        </w:tabs>
        <w:spacing w:line="480" w:lineRule="exact"/>
        <w:jc w:val="center"/>
        <w:rPr>
          <w:rFonts w:ascii="Bookman Old Style" w:hAnsi="Bookman Old Style" w:cs="Arial"/>
        </w:rPr>
      </w:pPr>
      <w:r w:rsidRPr="00760AEC">
        <w:rPr>
          <w:rFonts w:ascii="Bookman Old Style" w:hAnsi="Bookman Old Style" w:cs="Arial"/>
        </w:rPr>
        <w:t>CAPITAL SUSCRITO Y PAGADO: Bs. 0,15</w:t>
      </w:r>
    </w:p>
    <w:p w14:paraId="486BFF3B" w14:textId="77777777" w:rsidR="00F25C53" w:rsidRPr="00760AEC" w:rsidRDefault="00F25C53" w:rsidP="00F25C53">
      <w:pPr>
        <w:tabs>
          <w:tab w:val="center" w:pos="4549"/>
          <w:tab w:val="left" w:pos="6223"/>
        </w:tabs>
        <w:spacing w:line="480" w:lineRule="exact"/>
        <w:jc w:val="center"/>
        <w:rPr>
          <w:rFonts w:ascii="Bookman Old Style" w:hAnsi="Bookman Old Style" w:cs="Arial"/>
        </w:rPr>
      </w:pPr>
      <w:r w:rsidRPr="00760AEC">
        <w:rPr>
          <w:rFonts w:ascii="Bookman Old Style" w:hAnsi="Bookman Old Style" w:cs="Arial"/>
        </w:rPr>
        <w:t>Caracas, Venezuela</w:t>
      </w:r>
    </w:p>
    <w:p w14:paraId="722B4CC7" w14:textId="77777777" w:rsidR="00F25C53" w:rsidRPr="00760AEC" w:rsidRDefault="00F25C53" w:rsidP="00F25C53">
      <w:pPr>
        <w:tabs>
          <w:tab w:val="center" w:pos="4549"/>
          <w:tab w:val="left" w:pos="6223"/>
        </w:tabs>
        <w:spacing w:line="480" w:lineRule="exact"/>
        <w:jc w:val="center"/>
        <w:rPr>
          <w:rFonts w:ascii="Bookman Old Style" w:hAnsi="Bookman Old Style" w:cs="Arial"/>
        </w:rPr>
      </w:pPr>
      <w:r w:rsidRPr="00760AEC">
        <w:rPr>
          <w:rFonts w:ascii="Bookman Old Style" w:hAnsi="Bookman Old Style" w:cs="Arial"/>
        </w:rPr>
        <w:t>CONVOCATORIA</w:t>
      </w:r>
    </w:p>
    <w:p w14:paraId="022D600A" w14:textId="53EFC093" w:rsidR="00F25C53" w:rsidRPr="00760AEC" w:rsidRDefault="00F25C53" w:rsidP="00F25C53">
      <w:pPr>
        <w:tabs>
          <w:tab w:val="center" w:pos="4549"/>
          <w:tab w:val="left" w:pos="6223"/>
        </w:tabs>
        <w:spacing w:line="480" w:lineRule="exact"/>
        <w:jc w:val="both"/>
        <w:rPr>
          <w:rFonts w:ascii="Bookman Old Style" w:hAnsi="Bookman Old Style" w:cs="Arial"/>
        </w:rPr>
      </w:pPr>
      <w:r w:rsidRPr="00760AEC">
        <w:rPr>
          <w:rFonts w:ascii="Bookman Old Style" w:hAnsi="Bookman Old Style" w:cs="Arial"/>
        </w:rPr>
        <w:t xml:space="preserve">Se convoca a los señores accionistas para la Asamblea General Extraordinaria de Accionistas </w:t>
      </w:r>
      <w:proofErr w:type="spellStart"/>
      <w:r w:rsidRPr="00760AEC">
        <w:rPr>
          <w:rFonts w:ascii="Bookman Old Style" w:hAnsi="Bookman Old Style" w:cs="Arial"/>
        </w:rPr>
        <w:t>Corimon</w:t>
      </w:r>
      <w:proofErr w:type="spellEnd"/>
      <w:r w:rsidRPr="00760AEC">
        <w:rPr>
          <w:rFonts w:ascii="Bookman Old Style" w:hAnsi="Bookman Old Style" w:cs="Arial"/>
        </w:rPr>
        <w:t xml:space="preserve">, C.A., que se celebrará el día </w:t>
      </w:r>
      <w:r w:rsidR="003F3A8B">
        <w:rPr>
          <w:rFonts w:ascii="Bookman Old Style" w:hAnsi="Bookman Old Style" w:cs="Arial"/>
        </w:rPr>
        <w:t>19</w:t>
      </w:r>
      <w:r w:rsidRPr="00760AEC">
        <w:rPr>
          <w:rFonts w:ascii="Bookman Old Style" w:hAnsi="Bookman Old Style" w:cs="Arial"/>
        </w:rPr>
        <w:t xml:space="preserve"> de noviembre de 2021, a las 10:30 de la mañana. La misma se llevará a cabo de manera no presencial, a través de la modalidad de video conferencia; y tendrá por objeto de considerar y resolver sobre los siguientes puntos contenidos en la agenda:</w:t>
      </w:r>
    </w:p>
    <w:p w14:paraId="21CA08EC" w14:textId="77777777" w:rsidR="00F25C53" w:rsidRPr="00760AEC" w:rsidRDefault="00F25C53" w:rsidP="00F25C53">
      <w:pPr>
        <w:pStyle w:val="Prrafodelista"/>
        <w:tabs>
          <w:tab w:val="left" w:pos="142"/>
        </w:tabs>
        <w:kinsoku w:val="0"/>
        <w:overflowPunct w:val="0"/>
        <w:spacing w:line="480" w:lineRule="exact"/>
        <w:ind w:left="0" w:right="144"/>
        <w:jc w:val="both"/>
        <w:textAlignment w:val="baseline"/>
        <w:rPr>
          <w:rFonts w:ascii="Bookman Old Style" w:hAnsi="Bookman Old Style" w:cs="Arial"/>
          <w:lang w:val="es-MX"/>
        </w:rPr>
      </w:pPr>
      <w:r w:rsidRPr="00760AEC">
        <w:rPr>
          <w:rFonts w:ascii="Bookman Old Style" w:hAnsi="Bookman Old Style" w:cs="Arial"/>
          <w:b/>
          <w:bCs/>
          <w:u w:val="single"/>
          <w:lang w:val="es-MX"/>
        </w:rPr>
        <w:t>PRIMERO</w:t>
      </w:r>
      <w:r w:rsidRPr="00760AEC">
        <w:rPr>
          <w:rFonts w:ascii="Bookman Old Style" w:hAnsi="Bookman Old Style" w:cs="Arial"/>
          <w:lang w:val="es-MX"/>
        </w:rPr>
        <w:t xml:space="preserve">: Considerar y resolver acerca de los Estados Financieros correspondientes al ejercicio económico finalizado el 30 de abril de 2021, con vista del informe de los Comisarios, así como del informe de la Junta Directiva. </w:t>
      </w:r>
    </w:p>
    <w:p w14:paraId="5EC4FC6F" w14:textId="77777777" w:rsidR="00F25C53" w:rsidRPr="00760AEC" w:rsidRDefault="00F25C53" w:rsidP="00F25C53">
      <w:pPr>
        <w:pStyle w:val="Prrafodelista"/>
        <w:tabs>
          <w:tab w:val="left" w:pos="142"/>
        </w:tabs>
        <w:kinsoku w:val="0"/>
        <w:overflowPunct w:val="0"/>
        <w:spacing w:line="480" w:lineRule="exact"/>
        <w:ind w:left="0" w:right="144"/>
        <w:jc w:val="both"/>
        <w:textAlignment w:val="baseline"/>
        <w:rPr>
          <w:rFonts w:ascii="Bookman Old Style" w:hAnsi="Bookman Old Style" w:cs="Arial"/>
          <w:lang w:val="es-MX"/>
        </w:rPr>
      </w:pPr>
      <w:r w:rsidRPr="00760AEC">
        <w:rPr>
          <w:rFonts w:ascii="Bookman Old Style" w:hAnsi="Bookman Old Style" w:cs="Arial"/>
          <w:b/>
          <w:bCs/>
          <w:u w:val="single"/>
          <w:lang w:val="es-MX"/>
        </w:rPr>
        <w:t>SEGUNDO</w:t>
      </w:r>
      <w:r w:rsidRPr="00760AEC">
        <w:rPr>
          <w:rFonts w:ascii="Bookman Old Style" w:hAnsi="Bookman Old Style" w:cs="Arial"/>
          <w:lang w:val="es-MX"/>
        </w:rPr>
        <w:t xml:space="preserve">: Considerar y resolver con vistas al proyecto que presentara la Junta Directiva, sobre el decreto de un dividendo extraordinario con cargo a la cuenta de Utilidades No Distribuidas, pagado en efectivo. </w:t>
      </w:r>
    </w:p>
    <w:p w14:paraId="46150FBB" w14:textId="77777777" w:rsidR="00F25C53" w:rsidRPr="00760AEC" w:rsidRDefault="00F25C53" w:rsidP="00F25C53">
      <w:pPr>
        <w:pStyle w:val="Prrafodelista"/>
        <w:tabs>
          <w:tab w:val="left" w:pos="142"/>
        </w:tabs>
        <w:kinsoku w:val="0"/>
        <w:overflowPunct w:val="0"/>
        <w:spacing w:line="480" w:lineRule="exact"/>
        <w:ind w:left="0" w:right="144"/>
        <w:jc w:val="both"/>
        <w:textAlignment w:val="baseline"/>
        <w:rPr>
          <w:rFonts w:ascii="Bookman Old Style" w:hAnsi="Bookman Old Style" w:cs="Arial"/>
          <w:lang w:val="es-MX"/>
        </w:rPr>
      </w:pPr>
      <w:r w:rsidRPr="00760AEC">
        <w:rPr>
          <w:rFonts w:ascii="Bookman Old Style" w:hAnsi="Bookman Old Style" w:cs="Arial"/>
          <w:b/>
          <w:bCs/>
          <w:u w:val="single"/>
          <w:lang w:val="es-MX"/>
        </w:rPr>
        <w:t>TERCERO</w:t>
      </w:r>
      <w:r w:rsidRPr="00760AEC">
        <w:rPr>
          <w:rFonts w:ascii="Bookman Old Style" w:hAnsi="Bookman Old Style" w:cs="Arial"/>
          <w:lang w:val="es-MX"/>
        </w:rPr>
        <w:t>: Considerar y resolver sobre la modificación del Artículo 15 de los estatutos sociales, referente a la integración de la Junta Directiva, la cual estará compuesta por 5 Directores Principales.</w:t>
      </w:r>
    </w:p>
    <w:p w14:paraId="310957DE" w14:textId="77777777" w:rsidR="00F25C53" w:rsidRPr="00760AEC" w:rsidRDefault="00F25C53" w:rsidP="00F25C53">
      <w:pPr>
        <w:pStyle w:val="Prrafodelista"/>
        <w:tabs>
          <w:tab w:val="left" w:pos="142"/>
        </w:tabs>
        <w:kinsoku w:val="0"/>
        <w:overflowPunct w:val="0"/>
        <w:spacing w:line="480" w:lineRule="exact"/>
        <w:ind w:left="0" w:right="144"/>
        <w:jc w:val="both"/>
        <w:textAlignment w:val="baseline"/>
        <w:rPr>
          <w:rFonts w:ascii="Bookman Old Style" w:hAnsi="Bookman Old Style" w:cs="Arial"/>
          <w:lang w:val="es-MX"/>
        </w:rPr>
      </w:pPr>
      <w:r w:rsidRPr="00760AEC">
        <w:rPr>
          <w:rFonts w:ascii="Bookman Old Style" w:hAnsi="Bookman Old Style" w:cs="Arial"/>
          <w:b/>
          <w:bCs/>
          <w:u w:val="single"/>
          <w:lang w:val="es-MX"/>
        </w:rPr>
        <w:t>CUARTO</w:t>
      </w:r>
      <w:r w:rsidRPr="00760AEC">
        <w:rPr>
          <w:rFonts w:ascii="Bookman Old Style" w:hAnsi="Bookman Old Style" w:cs="Arial"/>
          <w:lang w:val="es-MX"/>
        </w:rPr>
        <w:t xml:space="preserve">: Considerar y resolver sobre el nombramiento y/o ratificación de la Junta Directiva y la remuneración de los directores. </w:t>
      </w:r>
    </w:p>
    <w:p w14:paraId="4E7CBECF" w14:textId="77777777" w:rsidR="00F25C53" w:rsidRPr="00760AEC" w:rsidRDefault="00F25C53" w:rsidP="00F25C53">
      <w:pPr>
        <w:pStyle w:val="Prrafodelista"/>
        <w:tabs>
          <w:tab w:val="left" w:pos="142"/>
        </w:tabs>
        <w:kinsoku w:val="0"/>
        <w:overflowPunct w:val="0"/>
        <w:spacing w:line="480" w:lineRule="exact"/>
        <w:ind w:left="0" w:right="144"/>
        <w:jc w:val="both"/>
        <w:textAlignment w:val="baseline"/>
        <w:rPr>
          <w:rFonts w:ascii="Bookman Old Style" w:hAnsi="Bookman Old Style" w:cs="Arial"/>
          <w:lang w:val="es-MX"/>
        </w:rPr>
      </w:pPr>
      <w:r w:rsidRPr="00760AEC">
        <w:rPr>
          <w:rFonts w:ascii="Bookman Old Style" w:hAnsi="Bookman Old Style" w:cs="Arial"/>
          <w:b/>
          <w:bCs/>
          <w:u w:val="single"/>
          <w:lang w:val="es-MX"/>
        </w:rPr>
        <w:t>QUINTO</w:t>
      </w:r>
      <w:r w:rsidRPr="00760AEC">
        <w:rPr>
          <w:rFonts w:ascii="Bookman Old Style" w:hAnsi="Bookman Old Style" w:cs="Arial"/>
          <w:lang w:val="es-MX"/>
        </w:rPr>
        <w:t xml:space="preserve">: Considerar y resolver acerca del nombramiento de los Comisarios y sus suplentes, así como fijarles su remuneración; y sobre la designación </w:t>
      </w:r>
      <w:r w:rsidRPr="00760AEC">
        <w:rPr>
          <w:rFonts w:ascii="Bookman Old Style" w:hAnsi="Bookman Old Style" w:cs="Arial"/>
          <w:lang w:val="es-MX"/>
        </w:rPr>
        <w:lastRenderedPageBreak/>
        <w:t>de una firma independiente de contadores públicos para que emita su dictamen sobre los Estados Financieros anuales de la compañía.</w:t>
      </w:r>
    </w:p>
    <w:p w14:paraId="22B0D8E7" w14:textId="77777777" w:rsidR="00F25C53" w:rsidRPr="00760AEC" w:rsidRDefault="00F25C53" w:rsidP="00F25C53">
      <w:pPr>
        <w:pStyle w:val="Prrafodelista"/>
        <w:tabs>
          <w:tab w:val="left" w:pos="142"/>
        </w:tabs>
        <w:kinsoku w:val="0"/>
        <w:overflowPunct w:val="0"/>
        <w:spacing w:line="480" w:lineRule="exact"/>
        <w:ind w:left="0" w:right="144"/>
        <w:jc w:val="both"/>
        <w:textAlignment w:val="baseline"/>
        <w:rPr>
          <w:rFonts w:ascii="Bookman Old Style" w:hAnsi="Bookman Old Style" w:cs="Arial"/>
          <w:lang w:val="es-MX"/>
        </w:rPr>
      </w:pPr>
      <w:r w:rsidRPr="00760AEC">
        <w:rPr>
          <w:rFonts w:ascii="Bookman Old Style" w:hAnsi="Bookman Old Style" w:cs="Arial"/>
          <w:b/>
          <w:bCs/>
          <w:u w:val="single"/>
          <w:lang w:val="es-MX"/>
        </w:rPr>
        <w:t>SEXTO</w:t>
      </w:r>
      <w:r w:rsidRPr="00760AEC">
        <w:rPr>
          <w:rFonts w:ascii="Bookman Old Style" w:hAnsi="Bookman Old Style" w:cs="Arial"/>
          <w:lang w:val="es-MX"/>
        </w:rPr>
        <w:t xml:space="preserve">: Considerar y resolver sobre el aumento del capital social de CORIMON, C.A. en la cantidad de Siete Millones Cuatrocientos Noventa y </w:t>
      </w:r>
      <w:r w:rsidRPr="0017322F">
        <w:rPr>
          <w:rFonts w:ascii="Bookman Old Style" w:hAnsi="Bookman Old Style" w:cs="Arial"/>
          <w:lang w:val="es-MX"/>
        </w:rPr>
        <w:t>Nueve Mil Novecientos Noventa y Nueve Bolívares</w:t>
      </w:r>
      <w:r w:rsidRPr="00760AEC">
        <w:rPr>
          <w:rFonts w:ascii="Bookman Old Style" w:hAnsi="Bookman Old Style" w:cs="Arial"/>
          <w:lang w:val="es-MX"/>
        </w:rPr>
        <w:t xml:space="preserve"> con 85/100 (Bs. 7.499.999,85), para elevarlo a la cantidad de Siete Millones Quinientos Mil Bolívares (Bs. 7.500.000), mediante la capitalización de saldos disponibles al 30 de abril de 2021 en las cuentas “Prima en emisión de acciones” y “Actualización de capital”.</w:t>
      </w:r>
    </w:p>
    <w:p w14:paraId="757DD741" w14:textId="77777777" w:rsidR="00F25C53" w:rsidRPr="00760AEC" w:rsidRDefault="00F25C53" w:rsidP="00F25C53">
      <w:pPr>
        <w:pStyle w:val="Prrafodelista"/>
        <w:tabs>
          <w:tab w:val="left" w:pos="142"/>
        </w:tabs>
        <w:kinsoku w:val="0"/>
        <w:overflowPunct w:val="0"/>
        <w:spacing w:line="480" w:lineRule="exact"/>
        <w:ind w:left="0" w:right="144"/>
        <w:jc w:val="both"/>
        <w:textAlignment w:val="baseline"/>
        <w:rPr>
          <w:rFonts w:ascii="Bookman Old Style" w:hAnsi="Bookman Old Style" w:cs="Arial"/>
          <w:lang w:val="es-MX"/>
        </w:rPr>
      </w:pPr>
      <w:r w:rsidRPr="00760AEC">
        <w:rPr>
          <w:rFonts w:ascii="Bookman Old Style" w:hAnsi="Bookman Old Style" w:cs="Arial"/>
          <w:b/>
          <w:bCs/>
          <w:u w:val="single"/>
          <w:lang w:val="es-MX"/>
        </w:rPr>
        <w:t>SÉPTIMO</w:t>
      </w:r>
      <w:r w:rsidRPr="00760AEC">
        <w:rPr>
          <w:rFonts w:ascii="Bookman Old Style" w:hAnsi="Bookman Old Style" w:cs="Arial"/>
          <w:lang w:val="es-MX"/>
        </w:rPr>
        <w:t xml:space="preserve">: De ser aprobado el punto anterior, considerar y resolver sobre la modificación del </w:t>
      </w:r>
      <w:r w:rsidRPr="0017322F">
        <w:rPr>
          <w:rFonts w:ascii="Bookman Old Style" w:hAnsi="Bookman Old Style" w:cs="Arial"/>
          <w:lang w:val="es-MX"/>
        </w:rPr>
        <w:t xml:space="preserve">valor nominal actual de las acciones de CORIMON, C.A., para elevarlo de la cantidad de Bs. </w:t>
      </w:r>
      <w:r w:rsidRPr="0017322F">
        <w:rPr>
          <w:rFonts w:ascii="Bookman Old Style" w:hAnsi="Bookman Old Style" w:cs="Arial"/>
          <w:color w:val="000000"/>
          <w:lang w:val="es-MX"/>
        </w:rPr>
        <w:t>0,000000001</w:t>
      </w:r>
      <w:r w:rsidRPr="0017322F">
        <w:rPr>
          <w:rFonts w:ascii="Bookman Old Style" w:hAnsi="Bookman Old Style" w:cs="Arial"/>
          <w:lang w:val="es-MX"/>
        </w:rPr>
        <w:t xml:space="preserve"> por acción, a la cantidad de Bs. 0,05 por acción.</w:t>
      </w:r>
    </w:p>
    <w:p w14:paraId="77B7C16F" w14:textId="62801E84" w:rsidR="00F25C53" w:rsidRPr="00760AEC" w:rsidRDefault="00F25C53" w:rsidP="00F25C53">
      <w:pPr>
        <w:tabs>
          <w:tab w:val="left" w:pos="142"/>
        </w:tabs>
        <w:kinsoku w:val="0"/>
        <w:overflowPunct w:val="0"/>
        <w:spacing w:line="480" w:lineRule="exact"/>
        <w:ind w:right="144"/>
        <w:jc w:val="both"/>
        <w:textAlignment w:val="baseline"/>
        <w:rPr>
          <w:rFonts w:ascii="Bookman Old Style" w:hAnsi="Bookman Old Style" w:cs="Arial"/>
          <w:i/>
        </w:rPr>
      </w:pPr>
      <w:r w:rsidRPr="00760AEC">
        <w:rPr>
          <w:rFonts w:ascii="Bookman Old Style" w:hAnsi="Bookman Old Style" w:cs="Arial"/>
          <w:b/>
          <w:bCs/>
          <w:u w:val="single"/>
          <w:lang w:val="es-MX"/>
        </w:rPr>
        <w:t>OCTAVO</w:t>
      </w:r>
      <w:r w:rsidRPr="00760AEC">
        <w:rPr>
          <w:rFonts w:ascii="Bookman Old Style" w:hAnsi="Bookman Old Style" w:cs="Arial"/>
          <w:lang w:val="es-MX"/>
        </w:rPr>
        <w:t xml:space="preserve">: Considerar y resolver, acerca de la propuesta de aumento del capital social autorizado de la compañía hasta por la cantidad de </w:t>
      </w:r>
      <w:r w:rsidRPr="0017322F">
        <w:rPr>
          <w:rFonts w:ascii="Bookman Old Style" w:hAnsi="Bookman Old Style" w:cs="Arial"/>
          <w:lang w:val="es-MX"/>
        </w:rPr>
        <w:t>Veinticinco Millones Cuatrocientos Veinte Mil Bolívares (Bs. 25.420.000)</w:t>
      </w:r>
      <w:r w:rsidRPr="00760AEC">
        <w:rPr>
          <w:rFonts w:ascii="Bookman Old Style" w:hAnsi="Bookman Old Style" w:cs="Arial"/>
          <w:lang w:val="es-MX"/>
        </w:rPr>
        <w:t xml:space="preserve"> y de conformidad con el artículo 76 de</w:t>
      </w:r>
      <w:r w:rsidR="00E541A8">
        <w:rPr>
          <w:rFonts w:ascii="Bookman Old Style" w:hAnsi="Bookman Old Style" w:cs="Arial"/>
          <w:lang w:val="es-MX"/>
        </w:rPr>
        <w:t xml:space="preserve">l </w:t>
      </w:r>
      <w:r w:rsidR="00E541A8" w:rsidRPr="00E541A8">
        <w:rPr>
          <w:rFonts w:ascii="Bookman Old Style" w:hAnsi="Bookman Old Style" w:cs="Arial"/>
          <w:lang w:val="es-MX"/>
        </w:rPr>
        <w:t xml:space="preserve">Decreto con Rango Valor y Fuerza de Ley de Mercado de Valores </w:t>
      </w:r>
      <w:r w:rsidRPr="00760AEC">
        <w:rPr>
          <w:rFonts w:ascii="Bookman Old Style" w:hAnsi="Bookman Old Style" w:cs="Arial"/>
          <w:lang w:val="es-MX"/>
        </w:rPr>
        <w:t>autorizar a la Junta Directiva para aumentar el capital suscrito hasta el límite del capital autorizado, dentro de los 2 años siguientes a la autorización concedida.</w:t>
      </w:r>
    </w:p>
    <w:p w14:paraId="69626AF9" w14:textId="646F76EA" w:rsidR="005D2509" w:rsidRPr="00521D52" w:rsidRDefault="005D2509" w:rsidP="005D2509">
      <w:pPr>
        <w:pStyle w:val="Prrafodelista"/>
        <w:tabs>
          <w:tab w:val="left" w:pos="142"/>
        </w:tabs>
        <w:kinsoku w:val="0"/>
        <w:overflowPunct w:val="0"/>
        <w:spacing w:line="480" w:lineRule="exact"/>
        <w:ind w:left="0" w:right="144"/>
        <w:jc w:val="both"/>
        <w:textAlignment w:val="baseline"/>
        <w:rPr>
          <w:rFonts w:ascii="Bookman Old Style" w:hAnsi="Bookman Old Style" w:cs="Arial"/>
        </w:rPr>
      </w:pPr>
      <w:r w:rsidRPr="00521D52">
        <w:rPr>
          <w:rFonts w:ascii="Bookman Old Style" w:hAnsi="Bookman Old Style" w:cs="Arial"/>
          <w:b/>
          <w:bCs/>
          <w:u w:val="single"/>
        </w:rPr>
        <w:t>NOVENO</w:t>
      </w:r>
      <w:r w:rsidRPr="00521D52">
        <w:rPr>
          <w:rFonts w:ascii="Bookman Old Style" w:hAnsi="Bookman Old Style" w:cs="Arial"/>
        </w:rPr>
        <w:t>: Considerar y resolver sobre el aumento del capital social suscrito y pagado de la compañía en Setecientos Cincuenta mil Setenta y Tres Bolívares con 45 céntimos (Bs. Bs. 750.073,45) mediante la emisión de Quince Millones Un Mil Cuatrocientas Sesenta</w:t>
      </w:r>
      <w:r w:rsidR="00F72BF4" w:rsidRPr="00521D52">
        <w:rPr>
          <w:rFonts w:ascii="Bookman Old Style" w:hAnsi="Bookman Old Style" w:cs="Arial"/>
        </w:rPr>
        <w:t xml:space="preserve"> y Nueve</w:t>
      </w:r>
      <w:r w:rsidRPr="00521D52">
        <w:rPr>
          <w:rFonts w:ascii="Bookman Old Style" w:hAnsi="Bookman Old Style" w:cs="Arial"/>
        </w:rPr>
        <w:t xml:space="preserve"> (15.001.</w:t>
      </w:r>
      <w:r w:rsidRPr="00521D52">
        <w:rPr>
          <w:rFonts w:ascii="Bookman Old Style" w:hAnsi="Bookman Old Style" w:cs="Arial"/>
          <w:color w:val="000000" w:themeColor="text1"/>
        </w:rPr>
        <w:t>46</w:t>
      </w:r>
      <w:r w:rsidR="00F72BF4" w:rsidRPr="000A18FB">
        <w:rPr>
          <w:rFonts w:ascii="Bookman Old Style" w:hAnsi="Bookman Old Style" w:cs="Arial"/>
        </w:rPr>
        <w:t>9</w:t>
      </w:r>
      <w:r w:rsidRPr="00521D52">
        <w:rPr>
          <w:rFonts w:ascii="Bookman Old Style" w:hAnsi="Bookman Old Style" w:cs="Arial"/>
        </w:rPr>
        <w:t xml:space="preserve">) nuevas acciones comunes, las cuales tendrán un valor nominal de Bs. 0,05 cada una, y su valor de venta será de Bs. 0,80 con una prima de 0,75 por </w:t>
      </w:r>
      <w:r w:rsidRPr="00521D52">
        <w:rPr>
          <w:rFonts w:ascii="Bookman Old Style" w:hAnsi="Bookman Old Style" w:cs="Arial"/>
        </w:rPr>
        <w:lastRenderedPageBreak/>
        <w:t>cada acción, a ser suscritas en dinero efectivo, en forma exclusiva, por los señores accionistas de la compañía de la forma siguiente:</w:t>
      </w:r>
    </w:p>
    <w:p w14:paraId="7FAED07C" w14:textId="77777777" w:rsidR="005D2509" w:rsidRPr="00521D52" w:rsidRDefault="005D2509" w:rsidP="005D2509">
      <w:pPr>
        <w:pStyle w:val="Prrafodelista"/>
        <w:numPr>
          <w:ilvl w:val="0"/>
          <w:numId w:val="1"/>
        </w:numPr>
        <w:tabs>
          <w:tab w:val="left" w:pos="142"/>
        </w:tabs>
        <w:kinsoku w:val="0"/>
        <w:overflowPunct w:val="0"/>
        <w:spacing w:line="480" w:lineRule="exact"/>
        <w:ind w:right="144"/>
        <w:jc w:val="both"/>
        <w:textAlignment w:val="baseline"/>
        <w:rPr>
          <w:rFonts w:ascii="Bookman Old Style" w:hAnsi="Bookman Old Style" w:cs="Arial"/>
        </w:rPr>
      </w:pPr>
      <w:r w:rsidRPr="00521D52">
        <w:rPr>
          <w:rFonts w:ascii="Bookman Old Style" w:hAnsi="Bookman Old Style" w:cs="Arial"/>
        </w:rPr>
        <w:t>Se ofrecerá una (01) nueva acción por cada diez (10) acciones que los accionistas posean en la compañía.</w:t>
      </w:r>
    </w:p>
    <w:p w14:paraId="12B8B9A6" w14:textId="117E74D9" w:rsidR="00A70C1A" w:rsidRPr="00521D52" w:rsidRDefault="00A70C1A" w:rsidP="00A70C1A">
      <w:pPr>
        <w:pStyle w:val="Prrafodelista"/>
        <w:numPr>
          <w:ilvl w:val="0"/>
          <w:numId w:val="1"/>
        </w:numPr>
        <w:tabs>
          <w:tab w:val="left" w:pos="142"/>
        </w:tabs>
        <w:kinsoku w:val="0"/>
        <w:overflowPunct w:val="0"/>
        <w:spacing w:line="480" w:lineRule="exact"/>
        <w:ind w:right="144"/>
        <w:jc w:val="both"/>
        <w:textAlignment w:val="baseline"/>
        <w:rPr>
          <w:rFonts w:ascii="Bookman Old Style" w:hAnsi="Bookman Old Style"/>
        </w:rPr>
      </w:pPr>
      <w:r w:rsidRPr="00521D52">
        <w:rPr>
          <w:rFonts w:ascii="Bookman Old Style" w:hAnsi="Bookman Old Style" w:cs="Arial"/>
        </w:rPr>
        <w:t xml:space="preserve">2) Se considerarán las fracciones de acciones, las cuales se redondearán al número superior siguiente. Los accionistas que posean menos de diez (10) acciones, su fracción de acción se redondeara a una (01) acción y los que posean más de diez (10) acciones, sus fracciones se elevaran al número entero siguiente. </w:t>
      </w:r>
    </w:p>
    <w:p w14:paraId="0360E809" w14:textId="77777777" w:rsidR="00F25C53" w:rsidRPr="00760AEC" w:rsidRDefault="00F25C53" w:rsidP="00F25C53">
      <w:pPr>
        <w:pStyle w:val="Prrafodelista"/>
        <w:tabs>
          <w:tab w:val="left" w:pos="142"/>
        </w:tabs>
        <w:kinsoku w:val="0"/>
        <w:overflowPunct w:val="0"/>
        <w:spacing w:line="480" w:lineRule="exact"/>
        <w:ind w:left="0" w:right="144"/>
        <w:jc w:val="both"/>
        <w:textAlignment w:val="baseline"/>
        <w:rPr>
          <w:rFonts w:ascii="Bookman Old Style" w:hAnsi="Bookman Old Style" w:cs="Arial"/>
        </w:rPr>
      </w:pPr>
      <w:bookmarkStart w:id="0" w:name="_GoBack"/>
      <w:r w:rsidRPr="00521D52">
        <w:rPr>
          <w:rFonts w:ascii="Bookman Old Style" w:hAnsi="Bookman Old Style" w:cs="Arial"/>
          <w:b/>
          <w:bCs/>
          <w:u w:val="single"/>
        </w:rPr>
        <w:t>DECIMO</w:t>
      </w:r>
      <w:r w:rsidRPr="00521D52">
        <w:rPr>
          <w:rFonts w:ascii="Bookman Old Style" w:hAnsi="Bookman Old Style" w:cs="Arial"/>
        </w:rPr>
        <w:t>: Autorizar ampliamente a la Junta Directiva de la compañía, para</w:t>
      </w:r>
      <w:r w:rsidRPr="00760AEC">
        <w:rPr>
          <w:rFonts w:ascii="Bookman Old Style" w:hAnsi="Bookman Old Style" w:cs="Arial"/>
        </w:rPr>
        <w:t xml:space="preserve"> ejecutar todos los actos y gestiones que se requieran a fin de dar cumplimiento a lo decidido por la Asamblea.</w:t>
      </w:r>
    </w:p>
    <w:bookmarkEnd w:id="0"/>
    <w:p w14:paraId="37B24A2E" w14:textId="77777777" w:rsidR="00F25C53" w:rsidRPr="00760AEC" w:rsidRDefault="00F25C53" w:rsidP="00F25C53">
      <w:pPr>
        <w:spacing w:line="480" w:lineRule="exact"/>
        <w:ind w:left="709" w:hanging="709"/>
        <w:jc w:val="center"/>
        <w:rPr>
          <w:rFonts w:ascii="Bookman Old Style" w:hAnsi="Bookman Old Style" w:cs="Arial"/>
          <w:lang w:val="es-MX" w:eastAsia="x-none"/>
        </w:rPr>
      </w:pPr>
      <w:r w:rsidRPr="00760AEC">
        <w:rPr>
          <w:rFonts w:ascii="Bookman Old Style" w:hAnsi="Bookman Old Style" w:cs="Arial"/>
          <w:lang w:val="es-MX" w:eastAsia="x-none"/>
        </w:rPr>
        <w:t>La Junta Directiva</w:t>
      </w:r>
    </w:p>
    <w:p w14:paraId="4DD4A74B" w14:textId="4BE1D393" w:rsidR="00F25C53" w:rsidRDefault="00F25C53" w:rsidP="00F25C53">
      <w:pPr>
        <w:spacing w:line="480" w:lineRule="exact"/>
        <w:ind w:left="709" w:hanging="709"/>
        <w:rPr>
          <w:rFonts w:ascii="Bookman Old Style" w:hAnsi="Bookman Old Style" w:cs="Arial"/>
          <w:lang w:val="es-MX" w:eastAsia="x-none"/>
        </w:rPr>
      </w:pPr>
      <w:r w:rsidRPr="00760AEC">
        <w:rPr>
          <w:rFonts w:ascii="Bookman Old Style" w:hAnsi="Bookman Old Style" w:cs="Arial"/>
          <w:lang w:val="es-MX" w:eastAsia="x-none"/>
        </w:rPr>
        <w:t xml:space="preserve">Caracas, </w:t>
      </w:r>
      <w:r w:rsidR="0017322F">
        <w:rPr>
          <w:rFonts w:ascii="Bookman Old Style" w:hAnsi="Bookman Old Style" w:cs="Arial"/>
          <w:lang w:val="es-MX" w:eastAsia="x-none"/>
        </w:rPr>
        <w:t xml:space="preserve">03 </w:t>
      </w:r>
      <w:r w:rsidRPr="00760AEC">
        <w:rPr>
          <w:rFonts w:ascii="Bookman Old Style" w:hAnsi="Bookman Old Style" w:cs="Arial"/>
          <w:lang w:val="es-MX" w:eastAsia="x-none"/>
        </w:rPr>
        <w:t xml:space="preserve">de </w:t>
      </w:r>
      <w:r w:rsidR="0017322F">
        <w:rPr>
          <w:rFonts w:ascii="Bookman Old Style" w:hAnsi="Bookman Old Style" w:cs="Arial"/>
          <w:lang w:val="es-MX" w:eastAsia="x-none"/>
        </w:rPr>
        <w:t xml:space="preserve">noviembre </w:t>
      </w:r>
      <w:r w:rsidRPr="00760AEC">
        <w:rPr>
          <w:rFonts w:ascii="Bookman Old Style" w:hAnsi="Bookman Old Style" w:cs="Arial"/>
          <w:lang w:val="es-MX" w:eastAsia="x-none"/>
        </w:rPr>
        <w:t>de 2021.</w:t>
      </w:r>
    </w:p>
    <w:p w14:paraId="1D6B293B" w14:textId="03F8273A" w:rsidR="00B90833" w:rsidRDefault="00B90833" w:rsidP="00B90833">
      <w:pPr>
        <w:ind w:left="709" w:hanging="709"/>
        <w:jc w:val="both"/>
        <w:rPr>
          <w:rFonts w:ascii="Bookman Old Style" w:hAnsi="Bookman Old Style" w:cs="Arial"/>
          <w:sz w:val="22"/>
          <w:szCs w:val="22"/>
          <w:lang w:val="es-MX"/>
        </w:rPr>
      </w:pPr>
      <w:r>
        <w:rPr>
          <w:rFonts w:ascii="Bookman Old Style" w:hAnsi="Bookman Old Style" w:cs="Arial"/>
          <w:sz w:val="22"/>
          <w:szCs w:val="22"/>
          <w:lang w:val="es-MX"/>
        </w:rPr>
        <w:t xml:space="preserve">1. </w:t>
      </w:r>
      <w:r w:rsidRPr="00830340">
        <w:rPr>
          <w:rFonts w:ascii="Bookman Old Style" w:hAnsi="Bookman Old Style" w:cs="Arial"/>
          <w:sz w:val="22"/>
          <w:szCs w:val="22"/>
          <w:lang w:val="es-MX"/>
        </w:rPr>
        <w:t xml:space="preserve">Se participa a los señores accionistas que la memoria y cuenta presentada por la Junta Directiva, los estados financieros auditados por contadores </w:t>
      </w:r>
      <w:r w:rsidRPr="003F3A8B">
        <w:rPr>
          <w:rFonts w:ascii="Bookman Old Style" w:hAnsi="Bookman Old Style" w:cs="Arial"/>
          <w:sz w:val="22"/>
          <w:szCs w:val="22"/>
          <w:lang w:val="es-MX"/>
        </w:rPr>
        <w:t>públicos, correspondientes al ejercicio económico finalizado el 30 de abril de 202</w:t>
      </w:r>
      <w:r w:rsidR="00056144" w:rsidRPr="003F3A8B">
        <w:rPr>
          <w:rFonts w:ascii="Bookman Old Style" w:hAnsi="Bookman Old Style" w:cs="Arial"/>
          <w:sz w:val="22"/>
          <w:szCs w:val="22"/>
          <w:lang w:val="es-MX"/>
        </w:rPr>
        <w:t>1</w:t>
      </w:r>
      <w:r w:rsidRPr="003F3A8B">
        <w:rPr>
          <w:rFonts w:ascii="Bookman Old Style" w:hAnsi="Bookman Old Style" w:cs="Arial"/>
          <w:sz w:val="22"/>
          <w:szCs w:val="22"/>
          <w:lang w:val="es-MX"/>
        </w:rPr>
        <w:t xml:space="preserve"> y el informe</w:t>
      </w:r>
      <w:r w:rsidRPr="00830340">
        <w:rPr>
          <w:rFonts w:ascii="Bookman Old Style" w:hAnsi="Bookman Old Style" w:cs="Arial"/>
          <w:sz w:val="22"/>
          <w:szCs w:val="22"/>
          <w:lang w:val="es-MX"/>
        </w:rPr>
        <w:t xml:space="preserve"> de los Comisarios, se enc</w:t>
      </w:r>
      <w:r>
        <w:rPr>
          <w:rFonts w:ascii="Bookman Old Style" w:hAnsi="Bookman Old Style" w:cs="Arial"/>
          <w:sz w:val="22"/>
          <w:szCs w:val="22"/>
          <w:lang w:val="es-MX"/>
        </w:rPr>
        <w:t>ontrarán</w:t>
      </w:r>
      <w:r w:rsidRPr="00830340">
        <w:rPr>
          <w:rFonts w:ascii="Bookman Old Style" w:hAnsi="Bookman Old Style" w:cs="Arial"/>
          <w:sz w:val="22"/>
          <w:szCs w:val="22"/>
          <w:lang w:val="es-MX"/>
        </w:rPr>
        <w:t xml:space="preserve"> a su disposición en </w:t>
      </w:r>
      <w:r>
        <w:rPr>
          <w:rFonts w:ascii="Bookman Old Style" w:hAnsi="Bookman Old Style" w:cs="Arial"/>
          <w:sz w:val="22"/>
          <w:szCs w:val="22"/>
          <w:lang w:val="es-MX"/>
        </w:rPr>
        <w:t xml:space="preserve">la página web de la empresa </w:t>
      </w:r>
      <w:hyperlink r:id="rId5" w:history="1">
        <w:r w:rsidRPr="005317EF">
          <w:rPr>
            <w:rStyle w:val="Hipervnculo"/>
            <w:rFonts w:ascii="Bookman Old Style" w:hAnsi="Bookman Old Style" w:cs="Arial"/>
            <w:sz w:val="22"/>
            <w:szCs w:val="22"/>
            <w:lang w:val="es-MX"/>
          </w:rPr>
          <w:t>www.corimon.com</w:t>
        </w:r>
      </w:hyperlink>
      <w:r>
        <w:rPr>
          <w:rFonts w:ascii="Bookman Old Style" w:hAnsi="Bookman Old Style" w:cs="Arial"/>
          <w:sz w:val="22"/>
          <w:szCs w:val="22"/>
          <w:lang w:val="es-MX"/>
        </w:rPr>
        <w:t>.</w:t>
      </w:r>
    </w:p>
    <w:p w14:paraId="3319724F" w14:textId="0FE1757D" w:rsidR="00B90833" w:rsidRDefault="00B90833" w:rsidP="00B90833">
      <w:pPr>
        <w:ind w:left="709" w:hanging="1"/>
        <w:jc w:val="both"/>
        <w:rPr>
          <w:rFonts w:ascii="Bookman Old Style" w:hAnsi="Bookman Old Style" w:cs="Arial"/>
          <w:sz w:val="22"/>
          <w:szCs w:val="22"/>
          <w:lang w:val="es-ES"/>
        </w:rPr>
      </w:pPr>
      <w:r>
        <w:rPr>
          <w:rFonts w:ascii="Bookman Old Style" w:hAnsi="Bookman Old Style" w:cs="Arial"/>
          <w:sz w:val="22"/>
          <w:szCs w:val="22"/>
          <w:lang w:val="es-MX"/>
        </w:rPr>
        <w:t xml:space="preserve">2. </w:t>
      </w:r>
      <w:r w:rsidRPr="009D3800">
        <w:rPr>
          <w:rFonts w:ascii="Bookman Old Style" w:hAnsi="Bookman Old Style" w:cs="Arial"/>
          <w:sz w:val="22"/>
          <w:szCs w:val="22"/>
          <w:lang w:val="es-MX"/>
        </w:rPr>
        <w:t>Los accionistas podrán hacerse representar en la Asamblea mediante carta poder</w:t>
      </w:r>
      <w:r>
        <w:rPr>
          <w:rFonts w:ascii="Bookman Old Style" w:hAnsi="Bookman Old Style" w:cs="Arial"/>
          <w:sz w:val="22"/>
          <w:szCs w:val="22"/>
          <w:lang w:val="es-MX"/>
        </w:rPr>
        <w:t>,</w:t>
      </w:r>
      <w:r w:rsidRPr="009D3800">
        <w:rPr>
          <w:rFonts w:ascii="Bookman Old Style" w:hAnsi="Bookman Old Style" w:cs="Arial"/>
          <w:sz w:val="22"/>
          <w:szCs w:val="22"/>
          <w:lang w:val="es-MX"/>
        </w:rPr>
        <w:t xml:space="preserve"> enviada con al menos </w:t>
      </w:r>
      <w:r>
        <w:rPr>
          <w:rFonts w:ascii="Bookman Old Style" w:hAnsi="Bookman Old Style" w:cs="Arial"/>
          <w:sz w:val="22"/>
          <w:szCs w:val="22"/>
          <w:lang w:val="es-MX"/>
        </w:rPr>
        <w:t xml:space="preserve">con 24 horas de anticipación </w:t>
      </w:r>
      <w:r w:rsidRPr="009D3800">
        <w:rPr>
          <w:rFonts w:ascii="Bookman Old Style" w:hAnsi="Bookman Old Style" w:cs="Arial"/>
          <w:sz w:val="22"/>
          <w:szCs w:val="22"/>
          <w:lang w:val="es-MX"/>
        </w:rPr>
        <w:t>a la celebración de la asamblea a</w:t>
      </w:r>
      <w:r>
        <w:rPr>
          <w:rFonts w:ascii="Bookman Old Style" w:hAnsi="Bookman Old Style" w:cs="Arial"/>
          <w:sz w:val="22"/>
          <w:szCs w:val="22"/>
          <w:lang w:val="es-MX"/>
        </w:rPr>
        <w:t xml:space="preserve"> </w:t>
      </w:r>
      <w:r w:rsidRPr="009D3800">
        <w:rPr>
          <w:rFonts w:ascii="Bookman Old Style" w:hAnsi="Bookman Old Style" w:cs="Arial"/>
          <w:sz w:val="22"/>
          <w:szCs w:val="22"/>
          <w:lang w:val="es-MX"/>
        </w:rPr>
        <w:t>l</w:t>
      </w:r>
      <w:r>
        <w:rPr>
          <w:rFonts w:ascii="Bookman Old Style" w:hAnsi="Bookman Old Style" w:cs="Arial"/>
          <w:sz w:val="22"/>
          <w:szCs w:val="22"/>
          <w:lang w:val="es-MX"/>
        </w:rPr>
        <w:t>os</w:t>
      </w:r>
      <w:r w:rsidRPr="009D3800">
        <w:rPr>
          <w:rFonts w:ascii="Bookman Old Style" w:hAnsi="Bookman Old Style" w:cs="Arial"/>
          <w:sz w:val="22"/>
          <w:szCs w:val="22"/>
          <w:lang w:val="es-MX"/>
        </w:rPr>
        <w:t xml:space="preserve"> correo</w:t>
      </w:r>
      <w:r>
        <w:rPr>
          <w:rFonts w:ascii="Bookman Old Style" w:hAnsi="Bookman Old Style" w:cs="Arial"/>
          <w:sz w:val="22"/>
          <w:szCs w:val="22"/>
          <w:lang w:val="es-MX"/>
        </w:rPr>
        <w:t>s</w:t>
      </w:r>
      <w:r w:rsidRPr="009D3800">
        <w:rPr>
          <w:rFonts w:ascii="Bookman Old Style" w:hAnsi="Bookman Old Style" w:cs="Arial"/>
          <w:sz w:val="22"/>
          <w:szCs w:val="22"/>
          <w:lang w:val="es-MX"/>
        </w:rPr>
        <w:t xml:space="preserve"> electrónico</w:t>
      </w:r>
      <w:r>
        <w:rPr>
          <w:rFonts w:ascii="Bookman Old Style" w:hAnsi="Bookman Old Style" w:cs="Arial"/>
          <w:sz w:val="22"/>
          <w:szCs w:val="22"/>
          <w:lang w:val="es-MX"/>
        </w:rPr>
        <w:t>s</w:t>
      </w:r>
      <w:r w:rsidRPr="009D3800">
        <w:rPr>
          <w:rFonts w:ascii="Bookman Old Style" w:hAnsi="Bookman Old Style" w:cs="Arial"/>
          <w:sz w:val="22"/>
          <w:szCs w:val="22"/>
          <w:lang w:val="es-MX"/>
        </w:rPr>
        <w:t xml:space="preserve"> </w:t>
      </w:r>
      <w:proofErr w:type="spellStart"/>
      <w:r w:rsidRPr="009D3800">
        <w:rPr>
          <w:rFonts w:ascii="Bookman Old Style" w:hAnsi="Bookman Old Style" w:cs="Arial"/>
          <w:sz w:val="22"/>
          <w:szCs w:val="22"/>
          <w:lang w:val="es-MX"/>
        </w:rPr>
        <w:t>amelia</w:t>
      </w:r>
      <w:proofErr w:type="spellEnd"/>
      <w:r w:rsidRPr="009D3800">
        <w:rPr>
          <w:rFonts w:ascii="Bookman Old Style" w:hAnsi="Bookman Old Style" w:cs="Arial"/>
          <w:sz w:val="22"/>
          <w:szCs w:val="22"/>
          <w:lang w:val="es-ES"/>
        </w:rPr>
        <w:t>_</w:t>
      </w:r>
      <w:proofErr w:type="spellStart"/>
      <w:r w:rsidRPr="009D3800">
        <w:rPr>
          <w:rFonts w:ascii="Bookman Old Style" w:hAnsi="Bookman Old Style" w:cs="Arial"/>
          <w:sz w:val="22"/>
          <w:szCs w:val="22"/>
          <w:lang w:val="es-ES"/>
        </w:rPr>
        <w:t>ibarra</w:t>
      </w:r>
      <w:proofErr w:type="spellEnd"/>
      <w:r w:rsidRPr="009D3800">
        <w:rPr>
          <w:rFonts w:ascii="Bookman Old Style" w:hAnsi="Bookman Old Style" w:cs="Arial"/>
          <w:sz w:val="22"/>
          <w:szCs w:val="22"/>
          <w:lang w:val="es-ES"/>
        </w:rPr>
        <w:t xml:space="preserve">@ </w:t>
      </w:r>
      <w:r>
        <w:rPr>
          <w:rFonts w:ascii="Bookman Old Style" w:hAnsi="Bookman Old Style" w:cs="Arial"/>
          <w:sz w:val="22"/>
          <w:szCs w:val="22"/>
          <w:lang w:val="es-ES"/>
        </w:rPr>
        <w:t>c</w:t>
      </w:r>
      <w:r w:rsidRPr="009D3800">
        <w:rPr>
          <w:rFonts w:ascii="Bookman Old Style" w:hAnsi="Bookman Old Style" w:cs="Arial"/>
          <w:sz w:val="22"/>
          <w:szCs w:val="22"/>
          <w:lang w:val="es-ES"/>
        </w:rPr>
        <w:t>orimon.com</w:t>
      </w:r>
      <w:r>
        <w:rPr>
          <w:rFonts w:ascii="Bookman Old Style" w:hAnsi="Bookman Old Style" w:cs="Arial"/>
          <w:sz w:val="22"/>
          <w:szCs w:val="22"/>
          <w:lang w:val="es-ES"/>
        </w:rPr>
        <w:t xml:space="preserve"> y</w:t>
      </w:r>
      <w:r w:rsidR="003F3A8B">
        <w:rPr>
          <w:rFonts w:ascii="Bookman Old Style" w:hAnsi="Bookman Old Style" w:cs="Arial"/>
          <w:sz w:val="22"/>
          <w:szCs w:val="22"/>
          <w:lang w:val="es-ES"/>
        </w:rPr>
        <w:t>/o</w:t>
      </w:r>
      <w:r>
        <w:rPr>
          <w:rFonts w:ascii="Bookman Old Style" w:hAnsi="Bookman Old Style" w:cs="Arial"/>
          <w:sz w:val="22"/>
          <w:szCs w:val="22"/>
          <w:lang w:val="es-ES"/>
        </w:rPr>
        <w:t xml:space="preserve"> </w:t>
      </w:r>
      <w:hyperlink r:id="rId6" w:history="1">
        <w:r w:rsidRPr="0000517F">
          <w:rPr>
            <w:rStyle w:val="Hipervnculo"/>
            <w:rFonts w:ascii="Bookman Old Style" w:hAnsi="Bookman Old Style" w:cs="Arial"/>
            <w:sz w:val="22"/>
            <w:szCs w:val="22"/>
            <w:lang w:val="es-ES"/>
          </w:rPr>
          <w:t>gabriela_briceno@corimon.com</w:t>
        </w:r>
      </w:hyperlink>
      <w:r>
        <w:rPr>
          <w:rFonts w:ascii="Bookman Old Style" w:hAnsi="Bookman Old Style" w:cs="Arial"/>
          <w:sz w:val="22"/>
          <w:szCs w:val="22"/>
          <w:lang w:val="es-ES"/>
        </w:rPr>
        <w:t xml:space="preserve"> </w:t>
      </w:r>
    </w:p>
    <w:p w14:paraId="72430B2D" w14:textId="54D27A77" w:rsidR="00B90833" w:rsidRPr="009D3800" w:rsidRDefault="00B90833" w:rsidP="00B90833">
      <w:pPr>
        <w:ind w:left="709" w:hanging="1"/>
        <w:jc w:val="both"/>
        <w:rPr>
          <w:rFonts w:ascii="Bookman Old Style" w:hAnsi="Bookman Old Style" w:cs="Arial"/>
          <w:sz w:val="22"/>
          <w:szCs w:val="22"/>
          <w:lang w:val="es-MX"/>
        </w:rPr>
      </w:pPr>
      <w:r>
        <w:rPr>
          <w:rFonts w:ascii="Bookman Old Style" w:hAnsi="Bookman Old Style" w:cs="Arial"/>
          <w:sz w:val="22"/>
          <w:szCs w:val="22"/>
          <w:lang w:val="es-ES"/>
        </w:rPr>
        <w:t xml:space="preserve">3. </w:t>
      </w:r>
      <w:r w:rsidRPr="009D3800">
        <w:rPr>
          <w:rFonts w:ascii="Bookman Old Style" w:hAnsi="Bookman Old Style" w:cs="Arial"/>
          <w:sz w:val="22"/>
          <w:szCs w:val="22"/>
          <w:lang w:val="es-ES"/>
        </w:rPr>
        <w:t>Las instrucciones a seguir para asistir a la Asamblea de manera no presencial</w:t>
      </w:r>
      <w:r>
        <w:rPr>
          <w:rFonts w:ascii="Bookman Old Style" w:hAnsi="Bookman Old Style" w:cs="Arial"/>
          <w:sz w:val="22"/>
          <w:szCs w:val="22"/>
          <w:lang w:val="es-ES"/>
        </w:rPr>
        <w:t>,</w:t>
      </w:r>
      <w:r w:rsidRPr="009D3800">
        <w:rPr>
          <w:rFonts w:ascii="Bookman Old Style" w:hAnsi="Bookman Old Style" w:cs="Arial"/>
          <w:sz w:val="22"/>
          <w:szCs w:val="22"/>
          <w:lang w:val="es-ES"/>
        </w:rPr>
        <w:t xml:space="preserve"> serán publicadas en el portal web de</w:t>
      </w:r>
      <w:r>
        <w:rPr>
          <w:rFonts w:ascii="Bookman Old Style" w:hAnsi="Bookman Old Style" w:cs="Arial"/>
          <w:sz w:val="22"/>
          <w:szCs w:val="22"/>
          <w:lang w:val="es-ES"/>
        </w:rPr>
        <w:t xml:space="preserve"> </w:t>
      </w:r>
      <w:r w:rsidRPr="009D3800">
        <w:rPr>
          <w:rFonts w:ascii="Bookman Old Style" w:hAnsi="Bookman Old Style" w:cs="Arial"/>
          <w:sz w:val="22"/>
          <w:szCs w:val="22"/>
          <w:lang w:val="es-ES"/>
        </w:rPr>
        <w:t xml:space="preserve">la empresa </w:t>
      </w:r>
      <w:hyperlink r:id="rId7" w:history="1">
        <w:r w:rsidRPr="009D3800">
          <w:rPr>
            <w:rStyle w:val="Hipervnculo"/>
            <w:rFonts w:ascii="Bookman Old Style" w:hAnsi="Bookman Old Style" w:cs="Arial"/>
            <w:sz w:val="22"/>
            <w:szCs w:val="22"/>
            <w:lang w:val="es-MX"/>
          </w:rPr>
          <w:t>www.corimon.com</w:t>
        </w:r>
      </w:hyperlink>
      <w:r w:rsidRPr="009D3800">
        <w:rPr>
          <w:rFonts w:ascii="Bookman Old Style" w:hAnsi="Bookman Old Style" w:cs="Arial"/>
          <w:sz w:val="22"/>
          <w:szCs w:val="22"/>
          <w:lang w:val="es-MX"/>
        </w:rPr>
        <w:t>.</w:t>
      </w:r>
      <w:r>
        <w:rPr>
          <w:rFonts w:ascii="Bookman Old Style" w:hAnsi="Bookman Old Style" w:cs="Arial"/>
          <w:sz w:val="22"/>
          <w:szCs w:val="22"/>
          <w:lang w:val="es-MX"/>
        </w:rPr>
        <w:t>y suministradas</w:t>
      </w:r>
      <w:r w:rsidRPr="009D3800">
        <w:rPr>
          <w:rFonts w:ascii="Bookman Old Style" w:hAnsi="Bookman Old Style" w:cs="Arial"/>
          <w:sz w:val="22"/>
          <w:szCs w:val="22"/>
          <w:lang w:val="es-MX"/>
        </w:rPr>
        <w:t xml:space="preserve"> directamente </w:t>
      </w:r>
      <w:r>
        <w:rPr>
          <w:rFonts w:ascii="Bookman Old Style" w:hAnsi="Bookman Old Style" w:cs="Arial"/>
          <w:sz w:val="22"/>
          <w:szCs w:val="22"/>
          <w:lang w:val="es-MX"/>
        </w:rPr>
        <w:t xml:space="preserve">por la empresa, mediante solicitud enviada a los correos </w:t>
      </w:r>
      <w:r w:rsidRPr="009D3800">
        <w:rPr>
          <w:rFonts w:ascii="Bookman Old Style" w:hAnsi="Bookman Old Style" w:cs="Arial"/>
          <w:sz w:val="22"/>
          <w:szCs w:val="22"/>
          <w:lang w:val="es-MX"/>
        </w:rPr>
        <w:t xml:space="preserve"> electrónico</w:t>
      </w:r>
      <w:r>
        <w:rPr>
          <w:rFonts w:ascii="Bookman Old Style" w:hAnsi="Bookman Old Style" w:cs="Arial"/>
          <w:sz w:val="22"/>
          <w:szCs w:val="22"/>
          <w:lang w:val="es-MX"/>
        </w:rPr>
        <w:t>s</w:t>
      </w:r>
      <w:r w:rsidRPr="009D3800">
        <w:rPr>
          <w:rFonts w:ascii="Bookman Old Style" w:hAnsi="Bookman Old Style" w:cs="Arial"/>
          <w:sz w:val="22"/>
          <w:szCs w:val="22"/>
          <w:lang w:val="es-MX"/>
        </w:rPr>
        <w:t xml:space="preserve"> </w:t>
      </w:r>
      <w:hyperlink r:id="rId8" w:history="1">
        <w:r w:rsidRPr="009D3800">
          <w:rPr>
            <w:rStyle w:val="Hipervnculo"/>
            <w:rFonts w:ascii="Bookman Old Style" w:hAnsi="Bookman Old Style" w:cs="Arial"/>
            <w:sz w:val="22"/>
            <w:szCs w:val="22"/>
            <w:lang w:val="es-MX"/>
          </w:rPr>
          <w:t>amelia_ibarra@corimon.com</w:t>
        </w:r>
      </w:hyperlink>
      <w:r>
        <w:rPr>
          <w:rFonts w:ascii="Bookman Old Style" w:hAnsi="Bookman Old Style" w:cs="Arial"/>
          <w:sz w:val="22"/>
          <w:szCs w:val="22"/>
          <w:lang w:val="es-MX"/>
        </w:rPr>
        <w:t xml:space="preserve"> y</w:t>
      </w:r>
      <w:r w:rsidR="003F3A8B">
        <w:rPr>
          <w:rFonts w:ascii="Bookman Old Style" w:hAnsi="Bookman Old Style" w:cs="Arial"/>
          <w:sz w:val="22"/>
          <w:szCs w:val="22"/>
          <w:lang w:val="es-MX"/>
        </w:rPr>
        <w:t>/o</w:t>
      </w:r>
      <w:r>
        <w:rPr>
          <w:rFonts w:ascii="Bookman Old Style" w:hAnsi="Bookman Old Style" w:cs="Arial"/>
          <w:sz w:val="22"/>
          <w:szCs w:val="22"/>
          <w:lang w:val="es-MX"/>
        </w:rPr>
        <w:t xml:space="preserve"> </w:t>
      </w:r>
      <w:hyperlink r:id="rId9" w:history="1">
        <w:r w:rsidRPr="0000517F">
          <w:rPr>
            <w:rStyle w:val="Hipervnculo"/>
            <w:rFonts w:ascii="Bookman Old Style" w:hAnsi="Bookman Old Style" w:cs="Arial"/>
            <w:sz w:val="22"/>
            <w:szCs w:val="22"/>
            <w:lang w:val="es-MX"/>
          </w:rPr>
          <w:t>gabriela_briceno@corimon.com</w:t>
        </w:r>
      </w:hyperlink>
      <w:r>
        <w:rPr>
          <w:rFonts w:ascii="Bookman Old Style" w:hAnsi="Bookman Old Style" w:cs="Arial"/>
          <w:sz w:val="22"/>
          <w:szCs w:val="22"/>
          <w:lang w:val="es-MX"/>
        </w:rPr>
        <w:t xml:space="preserve"> </w:t>
      </w:r>
    </w:p>
    <w:p w14:paraId="1110AC52" w14:textId="77777777" w:rsidR="00B90833" w:rsidRDefault="00B90833" w:rsidP="00B90833">
      <w:pPr>
        <w:ind w:left="709" w:hanging="709"/>
        <w:jc w:val="both"/>
        <w:rPr>
          <w:rFonts w:ascii="Bookman Old Style" w:hAnsi="Bookman Old Style" w:cs="Arial"/>
          <w:sz w:val="22"/>
          <w:szCs w:val="22"/>
          <w:lang w:val="es-MX"/>
        </w:rPr>
      </w:pPr>
    </w:p>
    <w:p w14:paraId="740225D2" w14:textId="77777777" w:rsidR="00CA7E09" w:rsidRPr="00CA7E09" w:rsidRDefault="00CA7E09" w:rsidP="00B90833">
      <w:pPr>
        <w:spacing w:line="480" w:lineRule="exact"/>
        <w:ind w:left="709" w:hanging="709"/>
        <w:jc w:val="both"/>
        <w:rPr>
          <w:lang w:val="es-MX"/>
        </w:rPr>
      </w:pPr>
    </w:p>
    <w:sectPr w:rsidR="00CA7E09" w:rsidRPr="00CA7E0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B75B5"/>
    <w:multiLevelType w:val="hybridMultilevel"/>
    <w:tmpl w:val="1D583C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1991FD7"/>
    <w:multiLevelType w:val="hybridMultilevel"/>
    <w:tmpl w:val="A56CC0E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E09"/>
    <w:rsid w:val="00056144"/>
    <w:rsid w:val="000A18FB"/>
    <w:rsid w:val="0017322F"/>
    <w:rsid w:val="003F3A8B"/>
    <w:rsid w:val="00521D52"/>
    <w:rsid w:val="005D2509"/>
    <w:rsid w:val="008834CE"/>
    <w:rsid w:val="009678B4"/>
    <w:rsid w:val="009D349F"/>
    <w:rsid w:val="00A15D2F"/>
    <w:rsid w:val="00A70C1A"/>
    <w:rsid w:val="00B64DF1"/>
    <w:rsid w:val="00B90833"/>
    <w:rsid w:val="00CA7E09"/>
    <w:rsid w:val="00E541A8"/>
    <w:rsid w:val="00F25C53"/>
    <w:rsid w:val="00F72B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1EFCC"/>
  <w15:chartTrackingRefBased/>
  <w15:docId w15:val="{19511014-2E6B-431B-844F-061372A2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E09"/>
    <w:pPr>
      <w:spacing w:after="0" w:line="240" w:lineRule="auto"/>
    </w:pPr>
    <w:rPr>
      <w:rFonts w:ascii="Times New Roman" w:eastAsia="Times New Roman" w:hAnsi="Times New Roman" w:cs="Times New Roman"/>
      <w:sz w:val="24"/>
      <w:szCs w:val="24"/>
      <w:lang w:val="es-V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7E09"/>
    <w:pPr>
      <w:ind w:left="720"/>
      <w:contextualSpacing/>
    </w:pPr>
  </w:style>
  <w:style w:type="character" w:styleId="Hipervnculo">
    <w:name w:val="Hyperlink"/>
    <w:basedOn w:val="Fuentedeprrafopredeter"/>
    <w:uiPriority w:val="99"/>
    <w:unhideWhenUsed/>
    <w:rsid w:val="00B908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elia_ibarra@corimon.com" TargetMode="External"/><Relationship Id="rId3" Type="http://schemas.openxmlformats.org/officeDocument/2006/relationships/settings" Target="settings.xml"/><Relationship Id="rId7" Type="http://schemas.openxmlformats.org/officeDocument/2006/relationships/hyperlink" Target="http://www.corim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briela_briceno@corimon.com" TargetMode="External"/><Relationship Id="rId11" Type="http://schemas.openxmlformats.org/officeDocument/2006/relationships/theme" Target="theme/theme1.xml"/><Relationship Id="rId5" Type="http://schemas.openxmlformats.org/officeDocument/2006/relationships/hyperlink" Target="http://www.corimon.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abriela_briceno@corimon.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779</Words>
  <Characters>4288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Ibarra</dc:creator>
  <cp:keywords/>
  <dc:description/>
  <cp:lastModifiedBy>Gabriela Briceno</cp:lastModifiedBy>
  <cp:revision>3</cp:revision>
  <dcterms:created xsi:type="dcterms:W3CDTF">2021-11-18T19:28:00Z</dcterms:created>
  <dcterms:modified xsi:type="dcterms:W3CDTF">2021-11-18T19:48:00Z</dcterms:modified>
</cp:coreProperties>
</file>