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7C" w:rsidRDefault="00C1041B">
      <w:pPr>
        <w:rPr>
          <w:rFonts w:ascii="Arial" w:hAnsi="Arial"/>
          <w:b/>
          <w:sz w:val="18"/>
        </w:rPr>
      </w:pPr>
      <w:r>
        <w:rPr>
          <w:rFonts w:ascii="Arial" w:hAnsi="Arial"/>
          <w:b/>
          <w:sz w:val="18"/>
        </w:rPr>
        <w:t xml:space="preserve"> </w:t>
      </w:r>
    </w:p>
    <w:p w:rsidR="00990C7C" w:rsidRDefault="00990C7C">
      <w:pPr>
        <w:rPr>
          <w:rFonts w:ascii="Arial" w:hAnsi="Arial"/>
          <w:b/>
          <w:sz w:val="18"/>
        </w:rPr>
      </w:pPr>
    </w:p>
    <w:p w:rsidR="00990C7C" w:rsidRDefault="00990C7C">
      <w:pPr>
        <w:rPr>
          <w:rFonts w:ascii="Arial" w:hAnsi="Arial"/>
          <w:b/>
          <w:sz w:val="18"/>
        </w:rPr>
      </w:pPr>
    </w:p>
    <w:p w:rsidR="00990C7C" w:rsidRDefault="00990C7C">
      <w:pPr>
        <w:rPr>
          <w:rFonts w:ascii="Arial" w:hAnsi="Arial"/>
          <w:b/>
          <w:sz w:val="18"/>
        </w:rPr>
      </w:pPr>
    </w:p>
    <w:p w:rsidR="00990C7C" w:rsidRDefault="00990C7C">
      <w:pPr>
        <w:rPr>
          <w:rFonts w:ascii="Arial" w:hAnsi="Arial"/>
          <w:b/>
          <w:sz w:val="18"/>
        </w:rPr>
      </w:pPr>
    </w:p>
    <w:p w:rsidR="00990C7C" w:rsidRDefault="00990C7C">
      <w:pPr>
        <w:rPr>
          <w:rFonts w:ascii="Arial" w:hAnsi="Arial"/>
          <w:b/>
          <w:sz w:val="18"/>
        </w:rPr>
      </w:pPr>
    </w:p>
    <w:p w:rsidR="005C48E4" w:rsidRDefault="005C48E4">
      <w:pPr>
        <w:rPr>
          <w:rFonts w:ascii="Arial" w:hAnsi="Arial"/>
          <w:b/>
          <w:sz w:val="18"/>
        </w:rPr>
      </w:pPr>
    </w:p>
    <w:p w:rsidR="005C48E4" w:rsidRDefault="005C48E4">
      <w:pPr>
        <w:rPr>
          <w:rFonts w:ascii="Arial" w:hAnsi="Arial"/>
          <w:b/>
          <w:sz w:val="18"/>
        </w:rPr>
      </w:pPr>
    </w:p>
    <w:p w:rsidR="005C48E4" w:rsidRDefault="005C48E4">
      <w:pPr>
        <w:rPr>
          <w:rFonts w:ascii="Arial" w:hAnsi="Arial"/>
          <w:b/>
          <w:sz w:val="18"/>
        </w:rPr>
      </w:pPr>
    </w:p>
    <w:p w:rsidR="005C48E4" w:rsidRDefault="005C48E4">
      <w:pPr>
        <w:rPr>
          <w:rFonts w:ascii="Arial" w:hAnsi="Arial"/>
          <w:b/>
          <w:sz w:val="18"/>
        </w:rPr>
      </w:pPr>
    </w:p>
    <w:p w:rsidR="005C48E4" w:rsidRDefault="005C48E4">
      <w:pPr>
        <w:rPr>
          <w:rFonts w:ascii="Arial" w:hAnsi="Arial"/>
          <w:b/>
          <w:sz w:val="18"/>
        </w:rPr>
      </w:pPr>
    </w:p>
    <w:p w:rsidR="00585F8A" w:rsidRDefault="00585F8A">
      <w:pPr>
        <w:rPr>
          <w:rFonts w:ascii="Arial" w:hAnsi="Arial"/>
          <w:b/>
          <w:sz w:val="18"/>
        </w:rPr>
      </w:pPr>
    </w:p>
    <w:p w:rsidR="00585F8A" w:rsidRDefault="00585F8A">
      <w:pPr>
        <w:rPr>
          <w:rFonts w:ascii="Arial" w:hAnsi="Arial"/>
          <w:b/>
          <w:sz w:val="18"/>
        </w:rPr>
      </w:pPr>
    </w:p>
    <w:p w:rsidR="00585F8A" w:rsidRDefault="00585F8A">
      <w:pPr>
        <w:rPr>
          <w:rFonts w:ascii="Arial" w:hAnsi="Arial"/>
          <w:b/>
          <w:sz w:val="18"/>
        </w:rPr>
      </w:pPr>
    </w:p>
    <w:p w:rsidR="00585F8A" w:rsidRDefault="00585F8A">
      <w:pPr>
        <w:rPr>
          <w:rFonts w:ascii="Arial" w:hAnsi="Arial"/>
          <w:b/>
          <w:sz w:val="18"/>
        </w:rPr>
      </w:pPr>
    </w:p>
    <w:p w:rsidR="00585F8A" w:rsidRDefault="00585F8A">
      <w:pPr>
        <w:rPr>
          <w:rFonts w:ascii="Arial" w:hAnsi="Arial"/>
          <w:b/>
          <w:sz w:val="18"/>
        </w:rPr>
      </w:pPr>
    </w:p>
    <w:p w:rsidR="00990C7C" w:rsidRDefault="00990C7C">
      <w:pPr>
        <w:rPr>
          <w:rFonts w:ascii="Arial" w:hAnsi="Arial"/>
          <w:b/>
          <w:sz w:val="18"/>
        </w:rPr>
      </w:pPr>
    </w:p>
    <w:p w:rsidR="00990C7C" w:rsidRDefault="00990C7C">
      <w:pPr>
        <w:rPr>
          <w:rFonts w:ascii="Arial" w:hAnsi="Arial"/>
          <w:b/>
          <w:sz w:val="18"/>
        </w:rPr>
      </w:pPr>
    </w:p>
    <w:p w:rsidR="00990C7C" w:rsidRDefault="00990C7C">
      <w:pPr>
        <w:rPr>
          <w:rFonts w:ascii="Arial" w:hAnsi="Arial"/>
          <w:b/>
          <w:sz w:val="18"/>
        </w:rPr>
      </w:pPr>
    </w:p>
    <w:p w:rsidR="00990C7C" w:rsidRPr="00B1152D" w:rsidRDefault="00990C7C">
      <w:pPr>
        <w:rPr>
          <w:rFonts w:ascii="Arial" w:hAnsi="Arial" w:cs="Arial"/>
          <w:b/>
          <w:sz w:val="22"/>
          <w:szCs w:val="22"/>
        </w:rPr>
      </w:pPr>
    </w:p>
    <w:p w:rsidR="00990C7C" w:rsidRPr="00B1152D" w:rsidRDefault="0024373A">
      <w:pPr>
        <w:jc w:val="center"/>
        <w:rPr>
          <w:rFonts w:ascii="Arial" w:hAnsi="Arial" w:cs="Arial"/>
          <w:b/>
          <w:sz w:val="22"/>
          <w:szCs w:val="22"/>
          <w:lang w:val="es-MX"/>
        </w:rPr>
      </w:pPr>
      <w:r w:rsidRPr="00B1152D">
        <w:rPr>
          <w:rFonts w:ascii="Arial" w:hAnsi="Arial" w:cs="Arial"/>
          <w:b/>
          <w:sz w:val="22"/>
          <w:szCs w:val="22"/>
          <w:lang w:val="es-MX"/>
        </w:rPr>
        <w:t>CORIMON, C.A</w:t>
      </w:r>
      <w:r w:rsidR="001055EA" w:rsidRPr="00B1152D">
        <w:rPr>
          <w:rFonts w:ascii="Arial" w:hAnsi="Arial" w:cs="Arial"/>
          <w:b/>
          <w:sz w:val="22"/>
          <w:szCs w:val="22"/>
          <w:lang w:val="es-MX"/>
        </w:rPr>
        <w:t>. Y SUBSIDIARIAS</w:t>
      </w:r>
    </w:p>
    <w:p w:rsidR="00990C7C" w:rsidRPr="00B1152D" w:rsidRDefault="00990C7C">
      <w:pPr>
        <w:jc w:val="center"/>
        <w:rPr>
          <w:rFonts w:ascii="Arial" w:hAnsi="Arial" w:cs="Arial"/>
          <w:sz w:val="22"/>
          <w:szCs w:val="22"/>
          <w:lang w:val="es-MX"/>
        </w:rPr>
      </w:pPr>
      <w:r w:rsidRPr="00B1152D">
        <w:rPr>
          <w:rFonts w:ascii="Arial" w:hAnsi="Arial" w:cs="Arial"/>
          <w:sz w:val="22"/>
          <w:szCs w:val="22"/>
          <w:lang w:val="es-MX"/>
        </w:rPr>
        <w:t xml:space="preserve">Estados Financieros </w:t>
      </w:r>
      <w:r w:rsidR="0024373A" w:rsidRPr="00B1152D">
        <w:rPr>
          <w:rFonts w:ascii="Arial" w:hAnsi="Arial" w:cs="Arial"/>
          <w:sz w:val="22"/>
          <w:szCs w:val="22"/>
          <w:lang w:val="es-MX"/>
        </w:rPr>
        <w:t>Consolidados</w:t>
      </w:r>
    </w:p>
    <w:p w:rsidR="00990C7C" w:rsidRPr="00C17DE1" w:rsidRDefault="00990C7C">
      <w:pPr>
        <w:jc w:val="center"/>
        <w:rPr>
          <w:rFonts w:ascii="Arial" w:hAnsi="Arial" w:cs="Arial"/>
          <w:sz w:val="22"/>
          <w:szCs w:val="22"/>
          <w:lang w:val="es-MX"/>
        </w:rPr>
      </w:pPr>
      <w:r w:rsidRPr="00C17DE1">
        <w:rPr>
          <w:rFonts w:ascii="Arial" w:hAnsi="Arial" w:cs="Arial"/>
          <w:sz w:val="22"/>
          <w:szCs w:val="22"/>
          <w:lang w:val="es-MX"/>
        </w:rPr>
        <w:t xml:space="preserve">al </w:t>
      </w:r>
      <w:r w:rsidR="00174701" w:rsidRPr="00C17DE1">
        <w:rPr>
          <w:rFonts w:ascii="Arial" w:hAnsi="Arial" w:cs="Arial"/>
          <w:sz w:val="22"/>
          <w:szCs w:val="22"/>
          <w:lang w:val="es-MX"/>
        </w:rPr>
        <w:t xml:space="preserve">30 de </w:t>
      </w:r>
      <w:r w:rsidR="00DC6324" w:rsidRPr="00C17DE1">
        <w:rPr>
          <w:rFonts w:ascii="Arial" w:hAnsi="Arial" w:cs="Arial"/>
          <w:sz w:val="22"/>
          <w:szCs w:val="22"/>
          <w:lang w:val="es-MX"/>
        </w:rPr>
        <w:t>abril</w:t>
      </w:r>
      <w:r w:rsidR="00174701" w:rsidRPr="00C17DE1">
        <w:rPr>
          <w:rFonts w:ascii="Arial" w:hAnsi="Arial" w:cs="Arial"/>
          <w:sz w:val="22"/>
          <w:szCs w:val="22"/>
          <w:lang w:val="es-MX"/>
        </w:rPr>
        <w:t xml:space="preserve"> de </w:t>
      </w:r>
      <w:r w:rsidR="00C17DE1" w:rsidRPr="00C17DE1">
        <w:rPr>
          <w:rFonts w:ascii="Arial" w:hAnsi="Arial" w:cs="Arial"/>
          <w:sz w:val="22"/>
          <w:szCs w:val="22"/>
          <w:lang w:val="es-MX"/>
        </w:rPr>
        <w:t>2016</w:t>
      </w:r>
    </w:p>
    <w:p w:rsidR="00990C7C" w:rsidRPr="00C17DE1" w:rsidRDefault="00990C7C">
      <w:pPr>
        <w:jc w:val="center"/>
        <w:rPr>
          <w:rFonts w:ascii="Arial" w:hAnsi="Arial" w:cs="Arial"/>
          <w:sz w:val="22"/>
          <w:szCs w:val="22"/>
          <w:lang w:val="es-MX"/>
        </w:rPr>
      </w:pPr>
    </w:p>
    <w:p w:rsidR="00990C7C" w:rsidRPr="00C17DE1" w:rsidRDefault="00990C7C">
      <w:pPr>
        <w:jc w:val="center"/>
        <w:rPr>
          <w:rFonts w:ascii="Arial" w:hAnsi="Arial" w:cs="Arial"/>
          <w:sz w:val="22"/>
          <w:szCs w:val="22"/>
          <w:lang w:val="es-MX"/>
        </w:rPr>
      </w:pPr>
      <w:r w:rsidRPr="00C17DE1">
        <w:rPr>
          <w:rFonts w:ascii="Arial" w:hAnsi="Arial" w:cs="Arial"/>
          <w:sz w:val="22"/>
          <w:szCs w:val="22"/>
          <w:lang w:val="es-MX"/>
        </w:rPr>
        <w:t>Expresado</w:t>
      </w:r>
      <w:r w:rsidR="00387F43" w:rsidRPr="00C17DE1">
        <w:rPr>
          <w:rFonts w:ascii="Arial" w:hAnsi="Arial" w:cs="Arial"/>
          <w:sz w:val="22"/>
          <w:szCs w:val="22"/>
          <w:lang w:val="es-MX"/>
        </w:rPr>
        <w:t>s</w:t>
      </w:r>
      <w:r w:rsidRPr="00C17DE1">
        <w:rPr>
          <w:rFonts w:ascii="Arial" w:hAnsi="Arial" w:cs="Arial"/>
          <w:sz w:val="22"/>
          <w:szCs w:val="22"/>
          <w:lang w:val="es-MX"/>
        </w:rPr>
        <w:t xml:space="preserve"> en </w:t>
      </w:r>
      <w:r w:rsidR="004C4691" w:rsidRPr="00C17DE1">
        <w:rPr>
          <w:rFonts w:ascii="Arial" w:hAnsi="Arial" w:cs="Arial"/>
          <w:sz w:val="22"/>
          <w:szCs w:val="22"/>
          <w:lang w:val="es-MX"/>
        </w:rPr>
        <w:t xml:space="preserve">miles de bolívares </w:t>
      </w:r>
      <w:r w:rsidRPr="00C17DE1">
        <w:rPr>
          <w:rFonts w:ascii="Arial" w:hAnsi="Arial" w:cs="Arial"/>
          <w:sz w:val="22"/>
          <w:szCs w:val="22"/>
          <w:lang w:val="es-MX"/>
        </w:rPr>
        <w:t>Constante</w:t>
      </w:r>
      <w:r w:rsidR="004C4691" w:rsidRPr="00C17DE1">
        <w:rPr>
          <w:rFonts w:ascii="Arial" w:hAnsi="Arial" w:cs="Arial"/>
          <w:sz w:val="22"/>
          <w:szCs w:val="22"/>
          <w:lang w:val="es-MX"/>
        </w:rPr>
        <w:t>s</w:t>
      </w:r>
    </w:p>
    <w:p w:rsidR="00C66ADA" w:rsidRPr="00B1152D" w:rsidRDefault="00387F43" w:rsidP="00C66ADA">
      <w:pPr>
        <w:jc w:val="center"/>
        <w:rPr>
          <w:rFonts w:ascii="Arial" w:hAnsi="Arial" w:cs="Arial"/>
          <w:sz w:val="22"/>
          <w:szCs w:val="22"/>
          <w:lang w:val="es-MX"/>
        </w:rPr>
      </w:pPr>
      <w:r w:rsidRPr="00C17DE1">
        <w:rPr>
          <w:rFonts w:ascii="Arial" w:hAnsi="Arial" w:cs="Arial"/>
          <w:sz w:val="22"/>
          <w:szCs w:val="22"/>
          <w:lang w:val="es-MX"/>
        </w:rPr>
        <w:t>a</w:t>
      </w:r>
      <w:r w:rsidR="00DC6324" w:rsidRPr="00C17DE1">
        <w:rPr>
          <w:rFonts w:ascii="Arial" w:hAnsi="Arial" w:cs="Arial"/>
          <w:sz w:val="22"/>
          <w:szCs w:val="22"/>
          <w:lang w:val="es-MX"/>
        </w:rPr>
        <w:t xml:space="preserve">l 30 de abril de </w:t>
      </w:r>
      <w:r w:rsidR="00C17DE1" w:rsidRPr="00C17DE1">
        <w:rPr>
          <w:rFonts w:ascii="Arial" w:hAnsi="Arial" w:cs="Arial"/>
          <w:sz w:val="22"/>
          <w:szCs w:val="22"/>
          <w:lang w:val="es-MX"/>
        </w:rPr>
        <w:t>2016</w:t>
      </w:r>
    </w:p>
    <w:p w:rsidR="00990C7C" w:rsidRPr="00B1152D" w:rsidRDefault="00990C7C">
      <w:pPr>
        <w:jc w:val="center"/>
        <w:rPr>
          <w:rFonts w:ascii="Arial" w:hAnsi="Arial" w:cs="Arial"/>
          <w:sz w:val="22"/>
          <w:szCs w:val="22"/>
          <w:lang w:val="es-MX"/>
        </w:rPr>
      </w:pPr>
      <w:r w:rsidRPr="00B1152D">
        <w:rPr>
          <w:rFonts w:ascii="Arial" w:hAnsi="Arial" w:cs="Arial"/>
          <w:sz w:val="22"/>
          <w:szCs w:val="22"/>
          <w:lang w:val="es-MX"/>
        </w:rPr>
        <w:t>y</w:t>
      </w:r>
    </w:p>
    <w:p w:rsidR="00990C7C" w:rsidRPr="00B1152D" w:rsidRDefault="00990C7C">
      <w:pPr>
        <w:jc w:val="center"/>
        <w:rPr>
          <w:rFonts w:ascii="Arial" w:hAnsi="Arial" w:cs="Arial"/>
          <w:sz w:val="22"/>
          <w:szCs w:val="22"/>
          <w:lang w:val="es-MX"/>
        </w:rPr>
      </w:pPr>
      <w:r w:rsidRPr="00B1152D">
        <w:rPr>
          <w:rFonts w:ascii="Arial" w:hAnsi="Arial" w:cs="Arial"/>
          <w:sz w:val="22"/>
          <w:szCs w:val="22"/>
          <w:lang w:val="es-MX"/>
        </w:rPr>
        <w:t>Opinión de</w:t>
      </w:r>
      <w:r w:rsidR="00DC6324" w:rsidRPr="00B1152D">
        <w:rPr>
          <w:rFonts w:ascii="Arial" w:hAnsi="Arial" w:cs="Arial"/>
          <w:sz w:val="22"/>
          <w:szCs w:val="22"/>
          <w:lang w:val="es-MX"/>
        </w:rPr>
        <w:t xml:space="preserve"> </w:t>
      </w:r>
      <w:r w:rsidRPr="00B1152D">
        <w:rPr>
          <w:rFonts w:ascii="Arial" w:hAnsi="Arial" w:cs="Arial"/>
          <w:sz w:val="22"/>
          <w:szCs w:val="22"/>
          <w:lang w:val="es-MX"/>
        </w:rPr>
        <w:t>l</w:t>
      </w:r>
      <w:r w:rsidR="00DC6324" w:rsidRPr="00B1152D">
        <w:rPr>
          <w:rFonts w:ascii="Arial" w:hAnsi="Arial" w:cs="Arial"/>
          <w:sz w:val="22"/>
          <w:szCs w:val="22"/>
          <w:lang w:val="es-MX"/>
        </w:rPr>
        <w:t>os</w:t>
      </w:r>
      <w:r w:rsidRPr="00B1152D">
        <w:rPr>
          <w:rFonts w:ascii="Arial" w:hAnsi="Arial" w:cs="Arial"/>
          <w:sz w:val="22"/>
          <w:szCs w:val="22"/>
          <w:lang w:val="es-MX"/>
        </w:rPr>
        <w:t xml:space="preserve"> Comisario</w:t>
      </w:r>
      <w:r w:rsidR="00DC6324" w:rsidRPr="00B1152D">
        <w:rPr>
          <w:rFonts w:ascii="Arial" w:hAnsi="Arial" w:cs="Arial"/>
          <w:sz w:val="22"/>
          <w:szCs w:val="22"/>
          <w:lang w:val="es-MX"/>
        </w:rPr>
        <w:t>s</w:t>
      </w:r>
      <w:r w:rsidRPr="00B1152D">
        <w:rPr>
          <w:rFonts w:ascii="Arial" w:hAnsi="Arial" w:cs="Arial"/>
          <w:sz w:val="22"/>
          <w:szCs w:val="22"/>
          <w:lang w:val="es-MX"/>
        </w:rPr>
        <w:t xml:space="preserve"> </w:t>
      </w:r>
    </w:p>
    <w:p w:rsidR="00990C7C" w:rsidRPr="00B1152D" w:rsidRDefault="00990C7C">
      <w:pPr>
        <w:rPr>
          <w:rFonts w:ascii="Arial" w:hAnsi="Arial" w:cs="Arial"/>
          <w:b/>
          <w:sz w:val="22"/>
          <w:szCs w:val="22"/>
        </w:rPr>
      </w:pPr>
    </w:p>
    <w:p w:rsidR="00990C7C" w:rsidRPr="00B1152D" w:rsidRDefault="00990C7C">
      <w:pPr>
        <w:rPr>
          <w:rFonts w:ascii="Arial" w:hAnsi="Arial" w:cs="Arial"/>
          <w:b/>
          <w:sz w:val="22"/>
          <w:szCs w:val="22"/>
        </w:rPr>
      </w:pPr>
    </w:p>
    <w:p w:rsidR="00990C7C" w:rsidRPr="00B1152D" w:rsidRDefault="00990C7C">
      <w:pPr>
        <w:rPr>
          <w:rFonts w:ascii="Arial" w:hAnsi="Arial" w:cs="Arial"/>
          <w:b/>
          <w:sz w:val="22"/>
          <w:szCs w:val="22"/>
        </w:rPr>
      </w:pPr>
    </w:p>
    <w:p w:rsidR="00990C7C" w:rsidRPr="00B1152D" w:rsidRDefault="00990C7C">
      <w:pPr>
        <w:rPr>
          <w:rFonts w:ascii="Arial" w:hAnsi="Arial" w:cs="Arial"/>
          <w:b/>
          <w:sz w:val="22"/>
          <w:szCs w:val="22"/>
        </w:rPr>
      </w:pPr>
    </w:p>
    <w:p w:rsidR="00990C7C" w:rsidRPr="00B1152D" w:rsidRDefault="00990C7C">
      <w:pPr>
        <w:rPr>
          <w:rFonts w:ascii="Arial" w:hAnsi="Arial" w:cs="Arial"/>
          <w:b/>
          <w:sz w:val="22"/>
          <w:szCs w:val="22"/>
        </w:rPr>
      </w:pPr>
    </w:p>
    <w:p w:rsidR="00990C7C" w:rsidRPr="00B1152D" w:rsidRDefault="004622A0">
      <w:pPr>
        <w:rPr>
          <w:rFonts w:ascii="Arial" w:hAnsi="Arial" w:cs="Arial"/>
          <w:b/>
          <w:sz w:val="22"/>
          <w:szCs w:val="22"/>
        </w:rPr>
      </w:pPr>
      <w:r w:rsidRPr="00B1152D">
        <w:rPr>
          <w:rFonts w:ascii="Arial" w:hAnsi="Arial" w:cs="Arial"/>
          <w:b/>
          <w:sz w:val="22"/>
          <w:szCs w:val="22"/>
        </w:rPr>
        <w:br/>
      </w:r>
      <w:r w:rsidRPr="00B1152D">
        <w:rPr>
          <w:rFonts w:ascii="Arial" w:hAnsi="Arial" w:cs="Arial"/>
          <w:b/>
          <w:sz w:val="22"/>
          <w:szCs w:val="22"/>
        </w:rPr>
        <w:br/>
      </w:r>
    </w:p>
    <w:p w:rsidR="007A7CBC" w:rsidRPr="00B1152D" w:rsidRDefault="007A7CBC" w:rsidP="007A7CBC">
      <w:pPr>
        <w:rPr>
          <w:rFonts w:ascii="Arial" w:hAnsi="Arial" w:cs="Arial"/>
          <w:b/>
          <w:sz w:val="22"/>
          <w:szCs w:val="22"/>
        </w:rPr>
      </w:pPr>
    </w:p>
    <w:p w:rsidR="00B1152D" w:rsidRPr="00B1152D" w:rsidRDefault="00B1152D" w:rsidP="007A7CBC">
      <w:pPr>
        <w:rPr>
          <w:rFonts w:ascii="Arial" w:hAnsi="Arial" w:cs="Arial"/>
          <w:b/>
          <w:sz w:val="22"/>
          <w:szCs w:val="22"/>
        </w:rPr>
      </w:pPr>
    </w:p>
    <w:p w:rsidR="00B1152D" w:rsidRPr="00B1152D" w:rsidRDefault="00B1152D" w:rsidP="007A7CBC">
      <w:pPr>
        <w:rPr>
          <w:rFonts w:ascii="Arial" w:hAnsi="Arial" w:cs="Arial"/>
          <w:b/>
          <w:sz w:val="22"/>
          <w:szCs w:val="22"/>
        </w:rPr>
      </w:pPr>
    </w:p>
    <w:p w:rsidR="00B1152D" w:rsidRPr="00B1152D" w:rsidRDefault="00B1152D" w:rsidP="007A7CBC">
      <w:pPr>
        <w:rPr>
          <w:rFonts w:ascii="Arial" w:hAnsi="Arial" w:cs="Arial"/>
          <w:b/>
          <w:sz w:val="22"/>
          <w:szCs w:val="22"/>
        </w:rPr>
      </w:pPr>
    </w:p>
    <w:p w:rsidR="00B1152D" w:rsidRPr="00B1152D" w:rsidRDefault="00B1152D" w:rsidP="007A7CBC">
      <w:pPr>
        <w:rPr>
          <w:rFonts w:ascii="Arial" w:hAnsi="Arial" w:cs="Arial"/>
          <w:b/>
          <w:sz w:val="22"/>
          <w:szCs w:val="22"/>
        </w:rPr>
      </w:pPr>
    </w:p>
    <w:p w:rsidR="00B1152D" w:rsidRPr="00B1152D" w:rsidRDefault="00B1152D" w:rsidP="007A7CBC">
      <w:pPr>
        <w:rPr>
          <w:rFonts w:ascii="Arial" w:hAnsi="Arial" w:cs="Arial"/>
          <w:b/>
          <w:sz w:val="22"/>
          <w:szCs w:val="22"/>
        </w:rPr>
      </w:pPr>
    </w:p>
    <w:p w:rsidR="00B1152D" w:rsidRDefault="00B1152D" w:rsidP="007A7CBC">
      <w:pPr>
        <w:rPr>
          <w:rFonts w:ascii="Arial" w:hAnsi="Arial" w:cs="Arial"/>
          <w:b/>
          <w:sz w:val="22"/>
          <w:szCs w:val="22"/>
        </w:rPr>
      </w:pPr>
    </w:p>
    <w:p w:rsidR="0075665F" w:rsidRDefault="0075665F" w:rsidP="007A7CBC">
      <w:pPr>
        <w:rPr>
          <w:rFonts w:ascii="Arial" w:hAnsi="Arial" w:cs="Arial"/>
          <w:b/>
          <w:sz w:val="22"/>
          <w:szCs w:val="22"/>
        </w:rPr>
      </w:pPr>
    </w:p>
    <w:p w:rsidR="0075665F" w:rsidRDefault="0075665F" w:rsidP="007A7CBC">
      <w:pPr>
        <w:rPr>
          <w:rFonts w:ascii="Arial" w:hAnsi="Arial" w:cs="Arial"/>
          <w:b/>
          <w:sz w:val="22"/>
          <w:szCs w:val="22"/>
        </w:rPr>
      </w:pPr>
    </w:p>
    <w:p w:rsidR="0075665F" w:rsidRDefault="0075665F" w:rsidP="007A7CBC">
      <w:pPr>
        <w:rPr>
          <w:rFonts w:ascii="Arial" w:hAnsi="Arial" w:cs="Arial"/>
          <w:b/>
          <w:sz w:val="22"/>
          <w:szCs w:val="22"/>
        </w:rPr>
      </w:pPr>
    </w:p>
    <w:p w:rsidR="0075665F" w:rsidRDefault="0075665F" w:rsidP="007A7CBC">
      <w:pPr>
        <w:rPr>
          <w:rFonts w:ascii="Arial" w:hAnsi="Arial" w:cs="Arial"/>
          <w:b/>
          <w:sz w:val="22"/>
          <w:szCs w:val="22"/>
        </w:rPr>
      </w:pPr>
    </w:p>
    <w:p w:rsidR="0075665F" w:rsidRDefault="0075665F" w:rsidP="007A7CBC">
      <w:pPr>
        <w:rPr>
          <w:rFonts w:ascii="Arial" w:hAnsi="Arial" w:cs="Arial"/>
          <w:b/>
          <w:sz w:val="22"/>
          <w:szCs w:val="22"/>
        </w:rPr>
      </w:pPr>
    </w:p>
    <w:p w:rsidR="0075665F" w:rsidRDefault="0075665F" w:rsidP="007A7CBC">
      <w:pPr>
        <w:rPr>
          <w:rFonts w:ascii="Arial" w:hAnsi="Arial" w:cs="Arial"/>
          <w:b/>
          <w:sz w:val="22"/>
          <w:szCs w:val="22"/>
        </w:rPr>
      </w:pPr>
    </w:p>
    <w:p w:rsidR="0075665F" w:rsidRDefault="0075665F" w:rsidP="007A7CBC">
      <w:pPr>
        <w:rPr>
          <w:rFonts w:ascii="Arial" w:hAnsi="Arial" w:cs="Arial"/>
          <w:b/>
          <w:sz w:val="22"/>
          <w:szCs w:val="22"/>
        </w:rPr>
      </w:pPr>
    </w:p>
    <w:p w:rsidR="0075665F" w:rsidRPr="00B1152D" w:rsidRDefault="0075665F" w:rsidP="007A7CBC">
      <w:pPr>
        <w:rPr>
          <w:rFonts w:ascii="Arial" w:hAnsi="Arial" w:cs="Arial"/>
          <w:b/>
          <w:sz w:val="22"/>
          <w:szCs w:val="22"/>
        </w:rPr>
      </w:pPr>
    </w:p>
    <w:p w:rsidR="00B1152D" w:rsidRPr="00B1152D" w:rsidRDefault="00B1152D" w:rsidP="007A7CBC">
      <w:pPr>
        <w:rPr>
          <w:rFonts w:ascii="Arial" w:hAnsi="Arial" w:cs="Arial"/>
          <w:b/>
          <w:sz w:val="22"/>
          <w:szCs w:val="22"/>
        </w:rPr>
      </w:pPr>
    </w:p>
    <w:p w:rsidR="003140B1" w:rsidRDefault="003140B1" w:rsidP="006930BC">
      <w:pPr>
        <w:rPr>
          <w:rFonts w:ascii="Arial" w:hAnsi="Arial" w:cs="Arial"/>
          <w:b/>
          <w:sz w:val="22"/>
          <w:szCs w:val="22"/>
        </w:rPr>
        <w:sectPr w:rsidR="003140B1" w:rsidSect="006930BC">
          <w:footerReference w:type="even" r:id="rId8"/>
          <w:pgSz w:w="12242" w:h="15842" w:code="1"/>
          <w:pgMar w:top="1701" w:right="1418" w:bottom="1701" w:left="1418" w:header="1140" w:footer="1140" w:gutter="0"/>
          <w:pgNumType w:fmt="lowerRoman" w:start="2"/>
          <w:cols w:space="720"/>
          <w:docGrid w:linePitch="326"/>
        </w:sectPr>
      </w:pPr>
    </w:p>
    <w:p w:rsidR="007A7CBC" w:rsidRPr="00B1152D" w:rsidRDefault="009D10BF" w:rsidP="006930BC">
      <w:pPr>
        <w:rPr>
          <w:rFonts w:ascii="Arial" w:hAnsi="Arial" w:cs="Arial"/>
          <w:sz w:val="22"/>
          <w:szCs w:val="22"/>
          <w:lang w:val="es-MX"/>
        </w:rPr>
      </w:pPr>
      <w:r w:rsidRPr="00B1152D">
        <w:rPr>
          <w:rFonts w:ascii="Arial" w:hAnsi="Arial" w:cs="Arial"/>
          <w:sz w:val="22"/>
          <w:szCs w:val="22"/>
        </w:rPr>
        <w:lastRenderedPageBreak/>
        <w:t>Informe de los C</w:t>
      </w:r>
      <w:r w:rsidR="00713658" w:rsidRPr="00B1152D">
        <w:rPr>
          <w:rFonts w:ascii="Arial" w:hAnsi="Arial" w:cs="Arial"/>
          <w:sz w:val="22"/>
          <w:szCs w:val="22"/>
        </w:rPr>
        <w:t>omisarios.</w:t>
      </w:r>
    </w:p>
    <w:p w:rsidR="00B1152D" w:rsidRPr="00B1152D" w:rsidRDefault="00B1152D" w:rsidP="00713658">
      <w:pPr>
        <w:spacing w:line="280" w:lineRule="exact"/>
        <w:rPr>
          <w:rFonts w:ascii="Arial" w:hAnsi="Arial" w:cs="Arial"/>
          <w:sz w:val="22"/>
          <w:szCs w:val="22"/>
          <w:lang w:val="es-MX"/>
        </w:rPr>
      </w:pPr>
    </w:p>
    <w:p w:rsidR="00713658" w:rsidRPr="00B1152D" w:rsidRDefault="005F0032" w:rsidP="00713658">
      <w:pPr>
        <w:spacing w:line="280" w:lineRule="exact"/>
        <w:rPr>
          <w:rFonts w:ascii="Arial" w:hAnsi="Arial" w:cs="Arial"/>
          <w:sz w:val="22"/>
          <w:szCs w:val="22"/>
          <w:lang w:val="es-MX"/>
        </w:rPr>
      </w:pPr>
      <w:r>
        <w:rPr>
          <w:rFonts w:ascii="Arial" w:hAnsi="Arial" w:cs="Arial"/>
          <w:sz w:val="22"/>
          <w:szCs w:val="22"/>
          <w:lang w:val="es-MX"/>
        </w:rPr>
        <w:t>12</w:t>
      </w:r>
      <w:r w:rsidR="00713658" w:rsidRPr="00A512BA">
        <w:rPr>
          <w:rFonts w:ascii="Arial" w:hAnsi="Arial" w:cs="Arial"/>
          <w:sz w:val="22"/>
          <w:szCs w:val="22"/>
          <w:lang w:val="es-MX"/>
        </w:rPr>
        <w:t xml:space="preserve"> de julio de </w:t>
      </w:r>
      <w:r w:rsidR="00A512BA" w:rsidRPr="00A512BA">
        <w:rPr>
          <w:rFonts w:ascii="Arial" w:hAnsi="Arial" w:cs="Arial"/>
          <w:sz w:val="22"/>
          <w:szCs w:val="22"/>
          <w:lang w:val="es-MX"/>
        </w:rPr>
        <w:t>2016</w:t>
      </w:r>
    </w:p>
    <w:p w:rsidR="009D6838" w:rsidRPr="00B1152D" w:rsidRDefault="009D6838" w:rsidP="00713658">
      <w:pPr>
        <w:spacing w:line="280" w:lineRule="exact"/>
        <w:rPr>
          <w:rFonts w:ascii="Arial" w:hAnsi="Arial" w:cs="Arial"/>
          <w:sz w:val="22"/>
          <w:szCs w:val="22"/>
          <w:lang w:val="es-MX"/>
        </w:rPr>
      </w:pPr>
    </w:p>
    <w:p w:rsidR="00713658" w:rsidRPr="00B1152D" w:rsidRDefault="00713658" w:rsidP="00713658">
      <w:pPr>
        <w:spacing w:line="280" w:lineRule="exact"/>
        <w:rPr>
          <w:rFonts w:ascii="Arial" w:hAnsi="Arial" w:cs="Arial"/>
          <w:sz w:val="22"/>
          <w:szCs w:val="22"/>
          <w:lang w:val="es-MX"/>
        </w:rPr>
      </w:pPr>
      <w:r w:rsidRPr="00B1152D">
        <w:rPr>
          <w:rFonts w:ascii="Arial" w:hAnsi="Arial" w:cs="Arial"/>
          <w:sz w:val="22"/>
          <w:szCs w:val="22"/>
          <w:lang w:val="es-MX"/>
        </w:rPr>
        <w:t xml:space="preserve">A los Accionistas de Corimon, C. A. </w:t>
      </w:r>
    </w:p>
    <w:p w:rsidR="00713658" w:rsidRPr="00B1152D" w:rsidRDefault="00713658" w:rsidP="00713658">
      <w:pPr>
        <w:pStyle w:val="Textoindependiente"/>
        <w:widowControl w:val="0"/>
        <w:autoSpaceDE w:val="0"/>
        <w:autoSpaceDN w:val="0"/>
        <w:adjustRightInd w:val="0"/>
        <w:spacing w:line="280" w:lineRule="exact"/>
        <w:jc w:val="left"/>
        <w:rPr>
          <w:rFonts w:ascii="Arial" w:hAnsi="Arial" w:cs="Arial"/>
          <w:sz w:val="22"/>
          <w:szCs w:val="22"/>
          <w:lang w:val="es-MX"/>
        </w:rPr>
      </w:pPr>
    </w:p>
    <w:p w:rsidR="009D6838" w:rsidRPr="00B1152D" w:rsidRDefault="009D6838" w:rsidP="00FA3F15">
      <w:pPr>
        <w:pStyle w:val="Textoindependiente"/>
        <w:widowControl w:val="0"/>
        <w:autoSpaceDE w:val="0"/>
        <w:autoSpaceDN w:val="0"/>
        <w:adjustRightInd w:val="0"/>
        <w:spacing w:line="280" w:lineRule="exact"/>
        <w:rPr>
          <w:rFonts w:ascii="Arial" w:hAnsi="Arial" w:cs="Arial"/>
          <w:sz w:val="22"/>
          <w:szCs w:val="22"/>
          <w:lang w:val="es-MX"/>
        </w:rPr>
      </w:pPr>
      <w:r w:rsidRPr="00C17DE1">
        <w:rPr>
          <w:rFonts w:ascii="Arial" w:hAnsi="Arial" w:cs="Arial"/>
          <w:sz w:val="22"/>
          <w:szCs w:val="22"/>
          <w:lang w:val="es-MX"/>
        </w:rPr>
        <w:t>En nuestro carácter de Comisa</w:t>
      </w:r>
      <w:r w:rsidR="00875167" w:rsidRPr="00C17DE1">
        <w:rPr>
          <w:rFonts w:ascii="Arial" w:hAnsi="Arial" w:cs="Arial"/>
          <w:sz w:val="22"/>
          <w:szCs w:val="22"/>
          <w:lang w:val="es-MX"/>
        </w:rPr>
        <w:t>rios, nombrados por la Asamblea</w:t>
      </w:r>
      <w:r w:rsidR="00B92065" w:rsidRPr="00C17DE1">
        <w:rPr>
          <w:rFonts w:ascii="Arial" w:hAnsi="Arial" w:cs="Arial"/>
          <w:sz w:val="22"/>
          <w:szCs w:val="22"/>
          <w:lang w:val="es-MX"/>
        </w:rPr>
        <w:t xml:space="preserve"> General</w:t>
      </w:r>
      <w:r w:rsidR="00875167" w:rsidRPr="00C17DE1">
        <w:rPr>
          <w:rFonts w:ascii="Arial" w:hAnsi="Arial" w:cs="Arial"/>
          <w:sz w:val="22"/>
          <w:szCs w:val="22"/>
          <w:lang w:val="es-MX"/>
        </w:rPr>
        <w:t xml:space="preserve"> Ordinaria </w:t>
      </w:r>
      <w:r w:rsidRPr="00C17DE1">
        <w:rPr>
          <w:rFonts w:ascii="Arial" w:hAnsi="Arial" w:cs="Arial"/>
          <w:sz w:val="22"/>
          <w:szCs w:val="22"/>
          <w:lang w:val="es-MX"/>
        </w:rPr>
        <w:t xml:space="preserve"> de Accionistas del </w:t>
      </w:r>
      <w:r w:rsidR="00A512BA">
        <w:rPr>
          <w:rFonts w:ascii="Arial" w:hAnsi="Arial" w:cs="Arial"/>
          <w:sz w:val="22"/>
          <w:szCs w:val="22"/>
          <w:lang w:val="es-MX"/>
        </w:rPr>
        <w:t>31 de julio de 2015; y de</w:t>
      </w:r>
      <w:r w:rsidRPr="00C17DE1">
        <w:rPr>
          <w:rFonts w:ascii="Arial" w:hAnsi="Arial" w:cs="Arial"/>
          <w:sz w:val="22"/>
          <w:szCs w:val="22"/>
          <w:lang w:val="es-MX"/>
        </w:rPr>
        <w:t xml:space="preserve"> acuerdo a lo establecido en las Normas y Reglamentos Interpersonales para el ejercicio de la función del Comisario, los Artículos 309 y 311 del Código  de Comercio de Venezuela y demás disposiciones legales y estatutarias, les informamos que hemos revisado el </w:t>
      </w:r>
      <w:r w:rsidR="00272219" w:rsidRPr="00C17DE1">
        <w:rPr>
          <w:rFonts w:ascii="Arial" w:hAnsi="Arial" w:cs="Arial"/>
          <w:sz w:val="22"/>
          <w:szCs w:val="22"/>
          <w:lang w:val="es-MX"/>
        </w:rPr>
        <w:t>estado</w:t>
      </w:r>
      <w:r w:rsidRPr="00C17DE1">
        <w:rPr>
          <w:rFonts w:ascii="Arial" w:hAnsi="Arial" w:cs="Arial"/>
          <w:sz w:val="22"/>
          <w:szCs w:val="22"/>
          <w:lang w:val="es-MX"/>
        </w:rPr>
        <w:t xml:space="preserve"> consolidado </w:t>
      </w:r>
      <w:r w:rsidR="001A7030" w:rsidRPr="00C17DE1">
        <w:rPr>
          <w:rFonts w:ascii="Arial" w:hAnsi="Arial" w:cs="Arial"/>
          <w:sz w:val="22"/>
          <w:szCs w:val="22"/>
          <w:lang w:val="es-MX"/>
        </w:rPr>
        <w:t xml:space="preserve">de situación financiera </w:t>
      </w:r>
      <w:r w:rsidRPr="00C17DE1">
        <w:rPr>
          <w:rFonts w:ascii="Arial" w:hAnsi="Arial" w:cs="Arial"/>
          <w:sz w:val="22"/>
          <w:szCs w:val="22"/>
          <w:lang w:val="es-MX"/>
        </w:rPr>
        <w:t xml:space="preserve">de Corimon, C. A. y </w:t>
      </w:r>
      <w:r w:rsidR="00BE0D8D" w:rsidRPr="00C17DE1">
        <w:rPr>
          <w:rFonts w:ascii="Arial" w:hAnsi="Arial" w:cs="Arial"/>
          <w:sz w:val="22"/>
          <w:szCs w:val="22"/>
          <w:lang w:val="es-MX"/>
        </w:rPr>
        <w:t>subsidiarias</w:t>
      </w:r>
      <w:r w:rsidRPr="00C17DE1">
        <w:rPr>
          <w:rFonts w:ascii="Arial" w:hAnsi="Arial" w:cs="Arial"/>
          <w:sz w:val="22"/>
          <w:szCs w:val="22"/>
          <w:lang w:val="es-MX"/>
        </w:rPr>
        <w:t xml:space="preserve"> al 30 de abril de </w:t>
      </w:r>
      <w:r w:rsidR="00C17DE1" w:rsidRPr="00C17DE1">
        <w:rPr>
          <w:rFonts w:ascii="Arial" w:hAnsi="Arial" w:cs="Arial"/>
          <w:sz w:val="22"/>
          <w:szCs w:val="22"/>
          <w:lang w:val="es-MX"/>
        </w:rPr>
        <w:t>2016</w:t>
      </w:r>
      <w:r w:rsidR="003D722E" w:rsidRPr="00C17DE1">
        <w:rPr>
          <w:rFonts w:ascii="Arial" w:hAnsi="Arial" w:cs="Arial"/>
          <w:sz w:val="22"/>
          <w:szCs w:val="22"/>
          <w:lang w:val="es-MX"/>
        </w:rPr>
        <w:t xml:space="preserve"> y</w:t>
      </w:r>
      <w:r w:rsidRPr="00C17DE1">
        <w:rPr>
          <w:rFonts w:ascii="Arial" w:hAnsi="Arial" w:cs="Arial"/>
          <w:sz w:val="22"/>
          <w:szCs w:val="22"/>
          <w:lang w:val="es-MX"/>
        </w:rPr>
        <w:t xml:space="preserve"> los es</w:t>
      </w:r>
      <w:r w:rsidR="001A7030" w:rsidRPr="00C17DE1">
        <w:rPr>
          <w:rFonts w:ascii="Arial" w:hAnsi="Arial" w:cs="Arial"/>
          <w:sz w:val="22"/>
          <w:szCs w:val="22"/>
          <w:lang w:val="es-MX"/>
        </w:rPr>
        <w:t>tados consolidados de resultado</w:t>
      </w:r>
      <w:r w:rsidR="00886265" w:rsidRPr="00C17DE1">
        <w:rPr>
          <w:rFonts w:ascii="Arial" w:hAnsi="Arial" w:cs="Arial"/>
          <w:sz w:val="22"/>
          <w:szCs w:val="22"/>
          <w:lang w:val="es-MX"/>
        </w:rPr>
        <w:t>s del período y otros resultados</w:t>
      </w:r>
      <w:r w:rsidR="001A7030" w:rsidRPr="00C17DE1">
        <w:rPr>
          <w:rFonts w:ascii="Arial" w:hAnsi="Arial" w:cs="Arial"/>
          <w:sz w:val="22"/>
          <w:szCs w:val="22"/>
          <w:lang w:val="es-MX"/>
        </w:rPr>
        <w:t xml:space="preserve"> integral</w:t>
      </w:r>
      <w:r w:rsidR="00886265" w:rsidRPr="00C17DE1">
        <w:rPr>
          <w:rFonts w:ascii="Arial" w:hAnsi="Arial" w:cs="Arial"/>
          <w:sz w:val="22"/>
          <w:szCs w:val="22"/>
          <w:lang w:val="es-MX"/>
        </w:rPr>
        <w:t>es</w:t>
      </w:r>
      <w:r w:rsidRPr="00C17DE1">
        <w:rPr>
          <w:rFonts w:ascii="Arial" w:hAnsi="Arial" w:cs="Arial"/>
          <w:sz w:val="22"/>
          <w:szCs w:val="22"/>
          <w:lang w:val="es-MX"/>
        </w:rPr>
        <w:t xml:space="preserve">, de </w:t>
      </w:r>
      <w:r w:rsidR="001A7030" w:rsidRPr="00C17DE1">
        <w:rPr>
          <w:rFonts w:ascii="Arial" w:hAnsi="Arial" w:cs="Arial"/>
          <w:sz w:val="22"/>
          <w:szCs w:val="22"/>
          <w:lang w:val="es-MX"/>
        </w:rPr>
        <w:t xml:space="preserve">cambios en el </w:t>
      </w:r>
      <w:r w:rsidRPr="00C17DE1">
        <w:rPr>
          <w:rFonts w:ascii="Arial" w:hAnsi="Arial" w:cs="Arial"/>
          <w:sz w:val="22"/>
          <w:szCs w:val="22"/>
          <w:lang w:val="es-MX"/>
        </w:rPr>
        <w:t>patrimonio y de flujos de</w:t>
      </w:r>
      <w:r w:rsidR="00642EEA" w:rsidRPr="00C17DE1">
        <w:rPr>
          <w:rFonts w:ascii="Arial" w:hAnsi="Arial" w:cs="Arial"/>
          <w:sz w:val="22"/>
          <w:szCs w:val="22"/>
          <w:lang w:val="es-MX"/>
        </w:rPr>
        <w:t>l</w:t>
      </w:r>
      <w:r w:rsidR="00306A80" w:rsidRPr="00C17DE1">
        <w:rPr>
          <w:rFonts w:ascii="Arial" w:hAnsi="Arial" w:cs="Arial"/>
          <w:sz w:val="22"/>
          <w:szCs w:val="22"/>
          <w:lang w:val="es-MX"/>
        </w:rPr>
        <w:t xml:space="preserve"> </w:t>
      </w:r>
      <w:r w:rsidRPr="00C17DE1">
        <w:rPr>
          <w:rFonts w:ascii="Arial" w:hAnsi="Arial" w:cs="Arial"/>
          <w:sz w:val="22"/>
          <w:szCs w:val="22"/>
          <w:lang w:val="es-MX"/>
        </w:rPr>
        <w:t xml:space="preserve">efectivo por el año finalizado el 30 de abril de </w:t>
      </w:r>
      <w:r w:rsidR="00DB67A3" w:rsidRPr="00C17DE1">
        <w:rPr>
          <w:rFonts w:ascii="Arial" w:hAnsi="Arial" w:cs="Arial"/>
          <w:sz w:val="22"/>
          <w:szCs w:val="22"/>
          <w:lang w:val="es-MX"/>
        </w:rPr>
        <w:t>201</w:t>
      </w:r>
      <w:r w:rsidR="00C17DE1" w:rsidRPr="00C17DE1">
        <w:rPr>
          <w:rFonts w:ascii="Arial" w:hAnsi="Arial" w:cs="Arial"/>
          <w:sz w:val="22"/>
          <w:szCs w:val="22"/>
          <w:lang w:val="es-MX"/>
        </w:rPr>
        <w:t>6</w:t>
      </w:r>
      <w:r w:rsidRPr="00C17DE1">
        <w:rPr>
          <w:rFonts w:ascii="Arial" w:hAnsi="Arial" w:cs="Arial"/>
          <w:sz w:val="22"/>
          <w:szCs w:val="22"/>
          <w:lang w:val="es-MX"/>
        </w:rPr>
        <w:t xml:space="preserve">, expresado en miles de bolívares constantes al 30 de abril de </w:t>
      </w:r>
      <w:r w:rsidR="00DB67A3" w:rsidRPr="00C17DE1">
        <w:rPr>
          <w:rFonts w:ascii="Arial" w:hAnsi="Arial" w:cs="Arial"/>
          <w:sz w:val="22"/>
          <w:szCs w:val="22"/>
          <w:lang w:val="es-MX"/>
        </w:rPr>
        <w:t>201</w:t>
      </w:r>
      <w:r w:rsidR="00C17DE1" w:rsidRPr="00C17DE1">
        <w:rPr>
          <w:rFonts w:ascii="Arial" w:hAnsi="Arial" w:cs="Arial"/>
          <w:sz w:val="22"/>
          <w:szCs w:val="22"/>
          <w:lang w:val="es-MX"/>
        </w:rPr>
        <w:t>6</w:t>
      </w:r>
      <w:r w:rsidRPr="00C17DE1">
        <w:rPr>
          <w:rFonts w:ascii="Arial" w:hAnsi="Arial" w:cs="Arial"/>
          <w:sz w:val="22"/>
          <w:szCs w:val="22"/>
          <w:lang w:val="es-MX"/>
        </w:rPr>
        <w:t xml:space="preserve">, que han sido preparados por </w:t>
      </w:r>
      <w:smartTag w:uri="urn:schemas-microsoft-com:office:smarttags" w:element="PersonName">
        <w:smartTagPr>
          <w:attr w:name="ProductID" w:val="la Administraci￳n"/>
        </w:smartTagPr>
        <w:r w:rsidRPr="00C17DE1">
          <w:rPr>
            <w:rFonts w:ascii="Arial" w:hAnsi="Arial" w:cs="Arial"/>
            <w:sz w:val="22"/>
            <w:szCs w:val="22"/>
            <w:lang w:val="es-MX"/>
          </w:rPr>
          <w:t>la Administración</w:t>
        </w:r>
      </w:smartTag>
      <w:r w:rsidRPr="00C17DE1">
        <w:rPr>
          <w:rFonts w:ascii="Arial" w:hAnsi="Arial" w:cs="Arial"/>
          <w:sz w:val="22"/>
          <w:szCs w:val="22"/>
          <w:lang w:val="es-MX"/>
        </w:rPr>
        <w:t xml:space="preserve"> de la Compañía</w:t>
      </w:r>
      <w:r w:rsidR="001A7030" w:rsidRPr="00C17DE1">
        <w:rPr>
          <w:rFonts w:ascii="Arial" w:hAnsi="Arial" w:cs="Arial"/>
          <w:sz w:val="22"/>
          <w:szCs w:val="22"/>
          <w:lang w:val="es-MX"/>
        </w:rPr>
        <w:t xml:space="preserve"> y sus </w:t>
      </w:r>
      <w:r w:rsidR="003C059A" w:rsidRPr="00C17DE1">
        <w:rPr>
          <w:rFonts w:ascii="Arial" w:hAnsi="Arial" w:cs="Arial"/>
          <w:sz w:val="22"/>
          <w:szCs w:val="22"/>
          <w:lang w:val="es-MX"/>
        </w:rPr>
        <w:t>S</w:t>
      </w:r>
      <w:r w:rsidR="001F3FAA" w:rsidRPr="00C17DE1">
        <w:rPr>
          <w:rFonts w:ascii="Arial" w:hAnsi="Arial" w:cs="Arial"/>
          <w:sz w:val="22"/>
          <w:szCs w:val="22"/>
          <w:lang w:val="es-MX"/>
        </w:rPr>
        <w:t>u</w:t>
      </w:r>
      <w:r w:rsidR="00BE0D8D" w:rsidRPr="00C17DE1">
        <w:rPr>
          <w:rFonts w:ascii="Arial" w:hAnsi="Arial" w:cs="Arial"/>
          <w:sz w:val="22"/>
          <w:szCs w:val="22"/>
          <w:lang w:val="es-MX"/>
        </w:rPr>
        <w:t>bsidiarias</w:t>
      </w:r>
      <w:r w:rsidRPr="00C17DE1">
        <w:rPr>
          <w:rFonts w:ascii="Arial" w:hAnsi="Arial" w:cs="Arial"/>
          <w:sz w:val="22"/>
          <w:szCs w:val="22"/>
          <w:lang w:val="es-MX"/>
        </w:rPr>
        <w:t>.</w:t>
      </w:r>
    </w:p>
    <w:p w:rsidR="009D6838" w:rsidRPr="00B1152D" w:rsidRDefault="009D6838" w:rsidP="00713658">
      <w:pPr>
        <w:pStyle w:val="Textoindependiente"/>
        <w:widowControl w:val="0"/>
        <w:autoSpaceDE w:val="0"/>
        <w:autoSpaceDN w:val="0"/>
        <w:adjustRightInd w:val="0"/>
        <w:spacing w:line="280" w:lineRule="exact"/>
        <w:jc w:val="left"/>
        <w:rPr>
          <w:rFonts w:ascii="Arial" w:hAnsi="Arial" w:cs="Arial"/>
          <w:sz w:val="22"/>
          <w:szCs w:val="22"/>
          <w:lang w:val="es-MX"/>
        </w:rPr>
      </w:pPr>
    </w:p>
    <w:p w:rsidR="009D6838" w:rsidRPr="00B1152D" w:rsidRDefault="009D6838" w:rsidP="00FA3F15">
      <w:pPr>
        <w:spacing w:line="280" w:lineRule="exact"/>
        <w:jc w:val="both"/>
        <w:rPr>
          <w:rFonts w:ascii="Arial" w:hAnsi="Arial" w:cs="Arial"/>
          <w:sz w:val="22"/>
          <w:szCs w:val="22"/>
          <w:lang w:val="es-MX"/>
        </w:rPr>
      </w:pPr>
      <w:r w:rsidRPr="00B1152D">
        <w:rPr>
          <w:rFonts w:ascii="Arial" w:hAnsi="Arial" w:cs="Arial"/>
          <w:sz w:val="22"/>
          <w:szCs w:val="22"/>
          <w:lang w:val="es-MX"/>
        </w:rPr>
        <w:t>Nuestra revisión se efectuó con el alcance que consideramos necesario de acuerdo con las circunstancias y con base al dictamen d</w:t>
      </w:r>
      <w:r w:rsidR="00306A80" w:rsidRPr="00B1152D">
        <w:rPr>
          <w:rFonts w:ascii="Arial" w:hAnsi="Arial" w:cs="Arial"/>
          <w:sz w:val="22"/>
          <w:szCs w:val="22"/>
          <w:lang w:val="es-MX"/>
        </w:rPr>
        <w:t>e lo</w:t>
      </w:r>
      <w:r w:rsidR="00B92065" w:rsidRPr="00B1152D">
        <w:rPr>
          <w:rFonts w:ascii="Arial" w:hAnsi="Arial" w:cs="Arial"/>
          <w:sz w:val="22"/>
          <w:szCs w:val="22"/>
          <w:lang w:val="es-MX"/>
        </w:rPr>
        <w:t>s auditores externos de la Compañía,  Rodríguez</w:t>
      </w:r>
      <w:r w:rsidR="005F56C7" w:rsidRPr="00B1152D">
        <w:rPr>
          <w:rFonts w:ascii="Arial" w:hAnsi="Arial" w:cs="Arial"/>
          <w:sz w:val="22"/>
          <w:szCs w:val="22"/>
          <w:lang w:val="es-MX"/>
        </w:rPr>
        <w:t>,</w:t>
      </w:r>
      <w:r w:rsidRPr="00B1152D">
        <w:rPr>
          <w:rFonts w:ascii="Arial" w:hAnsi="Arial" w:cs="Arial"/>
          <w:sz w:val="22"/>
          <w:szCs w:val="22"/>
          <w:lang w:val="es-MX"/>
        </w:rPr>
        <w:t xml:space="preserve"> V</w:t>
      </w:r>
      <w:r w:rsidR="00D4243D" w:rsidRPr="00B1152D">
        <w:rPr>
          <w:rFonts w:ascii="Arial" w:hAnsi="Arial" w:cs="Arial"/>
          <w:sz w:val="22"/>
          <w:szCs w:val="22"/>
          <w:lang w:val="es-MX"/>
        </w:rPr>
        <w:t>el</w:t>
      </w:r>
      <w:r w:rsidRPr="00B1152D">
        <w:rPr>
          <w:rFonts w:ascii="Arial" w:hAnsi="Arial" w:cs="Arial"/>
          <w:sz w:val="22"/>
          <w:szCs w:val="22"/>
          <w:lang w:val="es-MX"/>
        </w:rPr>
        <w:t>ázquez</w:t>
      </w:r>
      <w:r w:rsidR="00B92065" w:rsidRPr="00B1152D">
        <w:rPr>
          <w:rFonts w:ascii="Arial" w:hAnsi="Arial" w:cs="Arial"/>
          <w:sz w:val="22"/>
          <w:szCs w:val="22"/>
          <w:lang w:val="es-MX"/>
        </w:rPr>
        <w:t xml:space="preserve"> &amp; Asociados</w:t>
      </w:r>
      <w:r w:rsidRPr="00C17DE1">
        <w:rPr>
          <w:rFonts w:ascii="Arial" w:hAnsi="Arial" w:cs="Arial"/>
          <w:sz w:val="22"/>
          <w:szCs w:val="22"/>
          <w:lang w:val="es-MX"/>
        </w:rPr>
        <w:t xml:space="preserve">, fechado el </w:t>
      </w:r>
      <w:r w:rsidR="00376B24">
        <w:rPr>
          <w:rFonts w:ascii="Arial" w:hAnsi="Arial" w:cs="Arial"/>
          <w:sz w:val="22"/>
          <w:szCs w:val="22"/>
          <w:lang w:val="es-MX"/>
        </w:rPr>
        <w:t>12</w:t>
      </w:r>
      <w:r w:rsidRPr="00C17DE1">
        <w:rPr>
          <w:rFonts w:ascii="Arial" w:hAnsi="Arial" w:cs="Arial"/>
          <w:sz w:val="22"/>
          <w:szCs w:val="22"/>
          <w:lang w:val="es-MX"/>
        </w:rPr>
        <w:t xml:space="preserve"> de julio de </w:t>
      </w:r>
      <w:r w:rsidR="005F5762" w:rsidRPr="00C17DE1">
        <w:rPr>
          <w:rFonts w:ascii="Arial" w:hAnsi="Arial" w:cs="Arial"/>
          <w:sz w:val="22"/>
          <w:szCs w:val="22"/>
          <w:lang w:val="es-MX"/>
        </w:rPr>
        <w:t>201</w:t>
      </w:r>
      <w:r w:rsidR="00C17DE1" w:rsidRPr="00C17DE1">
        <w:rPr>
          <w:rFonts w:ascii="Arial" w:hAnsi="Arial" w:cs="Arial"/>
          <w:sz w:val="22"/>
          <w:szCs w:val="22"/>
          <w:lang w:val="es-MX"/>
        </w:rPr>
        <w:t>6</w:t>
      </w:r>
      <w:r w:rsidRPr="00B1152D">
        <w:rPr>
          <w:rFonts w:ascii="Arial" w:hAnsi="Arial" w:cs="Arial"/>
          <w:sz w:val="22"/>
          <w:szCs w:val="22"/>
          <w:lang w:val="es-MX"/>
        </w:rPr>
        <w:t>, y el cual forma</w:t>
      </w:r>
      <w:r w:rsidR="00306A80" w:rsidRPr="00B1152D">
        <w:rPr>
          <w:rFonts w:ascii="Arial" w:hAnsi="Arial" w:cs="Arial"/>
          <w:sz w:val="22"/>
          <w:szCs w:val="22"/>
          <w:lang w:val="es-MX"/>
        </w:rPr>
        <w:t xml:space="preserve"> p</w:t>
      </w:r>
      <w:r w:rsidR="00B92065" w:rsidRPr="00B1152D">
        <w:rPr>
          <w:rFonts w:ascii="Arial" w:hAnsi="Arial" w:cs="Arial"/>
          <w:sz w:val="22"/>
          <w:szCs w:val="22"/>
          <w:lang w:val="es-MX"/>
        </w:rPr>
        <w:t xml:space="preserve">arte integral de este </w:t>
      </w:r>
      <w:r w:rsidR="00B92065" w:rsidRPr="004825F8">
        <w:rPr>
          <w:rFonts w:ascii="Arial" w:hAnsi="Arial" w:cs="Arial"/>
          <w:sz w:val="22"/>
          <w:szCs w:val="22"/>
          <w:lang w:val="es-MX"/>
        </w:rPr>
        <w:t>informe. É</w:t>
      </w:r>
      <w:r w:rsidRPr="004825F8">
        <w:rPr>
          <w:rFonts w:ascii="Arial" w:hAnsi="Arial" w:cs="Arial"/>
          <w:sz w:val="22"/>
          <w:szCs w:val="22"/>
          <w:lang w:val="es-MX"/>
        </w:rPr>
        <w:t>stos indican que los estados financieros consolidados presenta</w:t>
      </w:r>
      <w:r w:rsidR="003C059A" w:rsidRPr="004825F8">
        <w:rPr>
          <w:rFonts w:ascii="Arial" w:hAnsi="Arial" w:cs="Arial"/>
          <w:sz w:val="22"/>
          <w:szCs w:val="22"/>
          <w:lang w:val="es-MX"/>
        </w:rPr>
        <w:t>n</w:t>
      </w:r>
      <w:r w:rsidRPr="004825F8">
        <w:rPr>
          <w:rFonts w:ascii="Arial" w:hAnsi="Arial" w:cs="Arial"/>
          <w:sz w:val="22"/>
          <w:szCs w:val="22"/>
          <w:lang w:val="es-MX"/>
        </w:rPr>
        <w:t xml:space="preserve"> razonablemente, e</w:t>
      </w:r>
      <w:r w:rsidR="00376B24" w:rsidRPr="004825F8">
        <w:rPr>
          <w:rFonts w:ascii="Arial" w:hAnsi="Arial" w:cs="Arial"/>
          <w:sz w:val="22"/>
          <w:szCs w:val="22"/>
          <w:lang w:val="es-MX"/>
        </w:rPr>
        <w:t>n todos sus aspectos mater</w:t>
      </w:r>
      <w:r w:rsidR="0017447B" w:rsidRPr="004825F8">
        <w:rPr>
          <w:rFonts w:ascii="Arial" w:hAnsi="Arial" w:cs="Arial"/>
          <w:sz w:val="22"/>
          <w:szCs w:val="22"/>
          <w:lang w:val="es-MX"/>
        </w:rPr>
        <w:t>iales</w:t>
      </w:r>
      <w:r w:rsidRPr="004825F8">
        <w:rPr>
          <w:rFonts w:ascii="Arial" w:hAnsi="Arial" w:cs="Arial"/>
          <w:sz w:val="22"/>
          <w:szCs w:val="22"/>
          <w:lang w:val="es-MX"/>
        </w:rPr>
        <w:t xml:space="preserve">, </w:t>
      </w:r>
      <w:r w:rsidR="00376B24" w:rsidRPr="004825F8">
        <w:rPr>
          <w:rFonts w:ascii="Arial" w:hAnsi="Arial" w:cs="Arial"/>
          <w:sz w:val="22"/>
          <w:szCs w:val="22"/>
          <w:lang w:val="es-MX"/>
        </w:rPr>
        <w:t>la situación financiera consolidada</w:t>
      </w:r>
      <w:r w:rsidR="004825F8" w:rsidRPr="004825F8">
        <w:rPr>
          <w:rFonts w:ascii="Arial" w:hAnsi="Arial" w:cs="Arial"/>
          <w:sz w:val="22"/>
          <w:szCs w:val="22"/>
          <w:lang w:val="es-MX"/>
        </w:rPr>
        <w:t>, el desempeño financiero consolidado</w:t>
      </w:r>
      <w:r w:rsidR="00F00909" w:rsidRPr="004825F8">
        <w:rPr>
          <w:rFonts w:ascii="Arial" w:hAnsi="Arial" w:cs="Arial"/>
          <w:sz w:val="22"/>
          <w:szCs w:val="22"/>
          <w:lang w:val="es-MX"/>
        </w:rPr>
        <w:t xml:space="preserve"> </w:t>
      </w:r>
      <w:r w:rsidRPr="004825F8">
        <w:rPr>
          <w:rFonts w:ascii="Arial" w:hAnsi="Arial" w:cs="Arial"/>
          <w:sz w:val="22"/>
          <w:szCs w:val="22"/>
          <w:lang w:val="es-MX"/>
        </w:rPr>
        <w:t>y</w:t>
      </w:r>
      <w:r w:rsidR="004825F8" w:rsidRPr="004825F8">
        <w:rPr>
          <w:rFonts w:ascii="Arial" w:hAnsi="Arial" w:cs="Arial"/>
          <w:sz w:val="22"/>
          <w:szCs w:val="22"/>
          <w:lang w:val="es-MX"/>
        </w:rPr>
        <w:t xml:space="preserve"> sus</w:t>
      </w:r>
      <w:r w:rsidR="00F00909" w:rsidRPr="004825F8">
        <w:rPr>
          <w:rFonts w:ascii="Arial" w:hAnsi="Arial" w:cs="Arial"/>
          <w:sz w:val="22"/>
          <w:szCs w:val="22"/>
          <w:lang w:val="es-MX"/>
        </w:rPr>
        <w:t xml:space="preserve"> </w:t>
      </w:r>
      <w:r w:rsidR="003C059A" w:rsidRPr="004825F8">
        <w:rPr>
          <w:rFonts w:ascii="Arial" w:hAnsi="Arial" w:cs="Arial"/>
          <w:sz w:val="22"/>
          <w:szCs w:val="22"/>
          <w:lang w:val="es-MX"/>
        </w:rPr>
        <w:t>flujo</w:t>
      </w:r>
      <w:r w:rsidR="004825F8" w:rsidRPr="004825F8">
        <w:rPr>
          <w:rFonts w:ascii="Arial" w:hAnsi="Arial" w:cs="Arial"/>
          <w:sz w:val="22"/>
          <w:szCs w:val="22"/>
          <w:lang w:val="es-MX"/>
        </w:rPr>
        <w:t>s</w:t>
      </w:r>
      <w:r w:rsidR="0017447B" w:rsidRPr="004825F8">
        <w:rPr>
          <w:rFonts w:ascii="Arial" w:hAnsi="Arial" w:cs="Arial"/>
          <w:sz w:val="22"/>
          <w:szCs w:val="22"/>
          <w:lang w:val="es-MX"/>
        </w:rPr>
        <w:t xml:space="preserve"> consolidado</w:t>
      </w:r>
      <w:r w:rsidR="004825F8" w:rsidRPr="004825F8">
        <w:rPr>
          <w:rFonts w:ascii="Arial" w:hAnsi="Arial" w:cs="Arial"/>
          <w:sz w:val="22"/>
          <w:szCs w:val="22"/>
          <w:lang w:val="es-MX"/>
        </w:rPr>
        <w:t xml:space="preserve"> de efectivo</w:t>
      </w:r>
      <w:r w:rsidR="0017447B" w:rsidRPr="004825F8">
        <w:rPr>
          <w:rFonts w:ascii="Arial" w:hAnsi="Arial" w:cs="Arial"/>
          <w:sz w:val="22"/>
          <w:szCs w:val="22"/>
          <w:lang w:val="es-MX"/>
        </w:rPr>
        <w:t xml:space="preserve"> de </w:t>
      </w:r>
      <w:r w:rsidR="00FA11B0" w:rsidRPr="004825F8">
        <w:rPr>
          <w:rFonts w:ascii="Arial" w:hAnsi="Arial" w:cs="Arial"/>
          <w:sz w:val="22"/>
          <w:szCs w:val="22"/>
          <w:lang w:val="es-MX"/>
        </w:rPr>
        <w:t xml:space="preserve">Corimon, </w:t>
      </w:r>
      <w:r w:rsidR="003C059A" w:rsidRPr="004825F8">
        <w:rPr>
          <w:rFonts w:ascii="Arial" w:hAnsi="Arial" w:cs="Arial"/>
          <w:sz w:val="22"/>
          <w:szCs w:val="22"/>
          <w:lang w:val="es-MX"/>
        </w:rPr>
        <w:t>C.A. y S</w:t>
      </w:r>
      <w:r w:rsidR="0017447B" w:rsidRPr="004825F8">
        <w:rPr>
          <w:rFonts w:ascii="Arial" w:hAnsi="Arial" w:cs="Arial"/>
          <w:sz w:val="22"/>
          <w:szCs w:val="22"/>
          <w:lang w:val="es-MX"/>
        </w:rPr>
        <w:t>ubsidiarias</w:t>
      </w:r>
      <w:r w:rsidR="009F3390" w:rsidRPr="004825F8">
        <w:rPr>
          <w:rFonts w:ascii="Arial" w:hAnsi="Arial" w:cs="Arial"/>
          <w:sz w:val="22"/>
          <w:szCs w:val="22"/>
          <w:lang w:val="es-MX"/>
        </w:rPr>
        <w:t xml:space="preserve"> por el año </w:t>
      </w:r>
      <w:r w:rsidR="004825F8" w:rsidRPr="004825F8">
        <w:rPr>
          <w:rFonts w:ascii="Arial" w:hAnsi="Arial" w:cs="Arial"/>
          <w:sz w:val="22"/>
          <w:szCs w:val="22"/>
          <w:lang w:val="es-MX"/>
        </w:rPr>
        <w:t>terminado</w:t>
      </w:r>
      <w:r w:rsidR="009F3390" w:rsidRPr="004825F8">
        <w:rPr>
          <w:rFonts w:ascii="Arial" w:hAnsi="Arial" w:cs="Arial"/>
          <w:sz w:val="22"/>
          <w:szCs w:val="22"/>
          <w:lang w:val="es-MX"/>
        </w:rPr>
        <w:t xml:space="preserve"> e</w:t>
      </w:r>
      <w:r w:rsidRPr="004825F8">
        <w:rPr>
          <w:rFonts w:ascii="Arial" w:hAnsi="Arial" w:cs="Arial"/>
          <w:sz w:val="22"/>
          <w:szCs w:val="22"/>
          <w:lang w:val="es-MX"/>
        </w:rPr>
        <w:t xml:space="preserve">l 30 de abril de </w:t>
      </w:r>
      <w:r w:rsidR="00C17DE1" w:rsidRPr="004825F8">
        <w:rPr>
          <w:rFonts w:ascii="Arial" w:hAnsi="Arial" w:cs="Arial"/>
          <w:sz w:val="22"/>
          <w:szCs w:val="22"/>
          <w:lang w:val="es-MX"/>
        </w:rPr>
        <w:t>2016</w:t>
      </w:r>
      <w:r w:rsidR="004825F8" w:rsidRPr="004825F8">
        <w:rPr>
          <w:rFonts w:ascii="Arial" w:hAnsi="Arial" w:cs="Arial"/>
          <w:sz w:val="22"/>
          <w:szCs w:val="22"/>
          <w:lang w:val="es-MX"/>
        </w:rPr>
        <w:t xml:space="preserve"> y que es</w:t>
      </w:r>
      <w:r w:rsidRPr="004825F8">
        <w:rPr>
          <w:rFonts w:ascii="Arial" w:hAnsi="Arial" w:cs="Arial"/>
          <w:sz w:val="22"/>
          <w:szCs w:val="22"/>
          <w:lang w:val="es-MX"/>
        </w:rPr>
        <w:t>e examen</w:t>
      </w:r>
      <w:r w:rsidR="003C059A" w:rsidRPr="004825F8">
        <w:rPr>
          <w:rFonts w:ascii="Arial" w:hAnsi="Arial" w:cs="Arial"/>
          <w:sz w:val="22"/>
          <w:szCs w:val="22"/>
          <w:lang w:val="es-MX"/>
        </w:rPr>
        <w:t xml:space="preserve"> se efectuó de acuerdo con las N</w:t>
      </w:r>
      <w:r w:rsidRPr="004825F8">
        <w:rPr>
          <w:rFonts w:ascii="Arial" w:hAnsi="Arial" w:cs="Arial"/>
          <w:sz w:val="22"/>
          <w:szCs w:val="22"/>
          <w:lang w:val="es-MX"/>
        </w:rPr>
        <w:t>ormas</w:t>
      </w:r>
      <w:r w:rsidR="003C059A" w:rsidRPr="004825F8">
        <w:rPr>
          <w:rFonts w:ascii="Arial" w:hAnsi="Arial" w:cs="Arial"/>
          <w:sz w:val="22"/>
          <w:szCs w:val="22"/>
          <w:lang w:val="es-MX"/>
        </w:rPr>
        <w:t xml:space="preserve"> I</w:t>
      </w:r>
      <w:r w:rsidR="008E7E09" w:rsidRPr="004825F8">
        <w:rPr>
          <w:rFonts w:ascii="Arial" w:hAnsi="Arial" w:cs="Arial"/>
          <w:sz w:val="22"/>
          <w:szCs w:val="22"/>
          <w:lang w:val="es-MX"/>
        </w:rPr>
        <w:t>nternacionales</w:t>
      </w:r>
      <w:r w:rsidRPr="004825F8">
        <w:rPr>
          <w:rFonts w:ascii="Arial" w:hAnsi="Arial" w:cs="Arial"/>
          <w:sz w:val="22"/>
          <w:szCs w:val="22"/>
          <w:lang w:val="es-MX"/>
        </w:rPr>
        <w:t xml:space="preserve"> de </w:t>
      </w:r>
      <w:r w:rsidR="004825F8" w:rsidRPr="004825F8">
        <w:rPr>
          <w:rFonts w:ascii="Arial" w:hAnsi="Arial" w:cs="Arial"/>
          <w:sz w:val="22"/>
          <w:szCs w:val="22"/>
          <w:lang w:val="es-MX"/>
        </w:rPr>
        <w:t>Información financiera</w:t>
      </w:r>
      <w:r w:rsidRPr="004825F8">
        <w:rPr>
          <w:rFonts w:ascii="Arial" w:hAnsi="Arial" w:cs="Arial"/>
          <w:sz w:val="22"/>
          <w:szCs w:val="22"/>
          <w:lang w:val="es-MX"/>
        </w:rPr>
        <w:t>.</w:t>
      </w:r>
      <w:r w:rsidR="004825F8">
        <w:rPr>
          <w:rFonts w:ascii="Arial" w:hAnsi="Arial" w:cs="Arial"/>
          <w:sz w:val="22"/>
          <w:szCs w:val="22"/>
          <w:lang w:val="es-MX"/>
        </w:rPr>
        <w:t xml:space="preserve"> Además indican en su párrafo de énfasis que durante el año terminado el 30 de abril de 2016, el grupo cambió su política contable relacionada con la subsecuente medición de algunas de sus propiedades, plantas y equipos, pasando del modelo del costo al modelo de revaluación.  </w:t>
      </w:r>
    </w:p>
    <w:p w:rsidR="003511F7" w:rsidRPr="00B1152D" w:rsidRDefault="003511F7" w:rsidP="00FA3F15">
      <w:pPr>
        <w:spacing w:line="280" w:lineRule="exact"/>
        <w:jc w:val="both"/>
        <w:rPr>
          <w:rFonts w:ascii="Arial" w:hAnsi="Arial" w:cs="Arial"/>
          <w:sz w:val="22"/>
          <w:szCs w:val="22"/>
          <w:lang w:val="es-MX"/>
        </w:rPr>
      </w:pPr>
    </w:p>
    <w:p w:rsidR="003511F7" w:rsidRPr="00B1152D" w:rsidRDefault="003511F7" w:rsidP="003511F7">
      <w:pPr>
        <w:jc w:val="both"/>
        <w:rPr>
          <w:rFonts w:ascii="Arial" w:hAnsi="Arial" w:cs="Arial"/>
          <w:sz w:val="22"/>
          <w:szCs w:val="22"/>
        </w:rPr>
      </w:pPr>
      <w:r w:rsidRPr="00B1152D">
        <w:rPr>
          <w:rFonts w:ascii="Arial" w:hAnsi="Arial" w:cs="Arial"/>
          <w:sz w:val="22"/>
          <w:szCs w:val="22"/>
        </w:rPr>
        <w:t xml:space="preserve">El Sistema de Contabilidad que Corimon, C.A.  y su subsidiarias tienen en funcionamiento, cumple con los requisitos del Código de Comercio y considera a los principios de contabilidad generalmente aceptados de acuerdo a lo indicado por los auditores externos </w:t>
      </w:r>
      <w:r w:rsidRPr="00B1152D">
        <w:rPr>
          <w:rFonts w:ascii="Arial" w:hAnsi="Arial" w:cs="Arial"/>
          <w:sz w:val="22"/>
          <w:szCs w:val="22"/>
          <w:lang w:val="es-MX"/>
        </w:rPr>
        <w:t>Rodríguez, Velázquez &amp; Asociados</w:t>
      </w:r>
      <w:r w:rsidRPr="00B1152D">
        <w:rPr>
          <w:rFonts w:ascii="Arial" w:hAnsi="Arial" w:cs="Arial"/>
          <w:sz w:val="22"/>
          <w:szCs w:val="22"/>
        </w:rPr>
        <w:t xml:space="preserve">, en su informe </w:t>
      </w:r>
      <w:r w:rsidR="00C17DE1" w:rsidRPr="00C17DE1">
        <w:rPr>
          <w:rFonts w:ascii="Arial" w:hAnsi="Arial" w:cs="Arial"/>
          <w:sz w:val="22"/>
          <w:szCs w:val="22"/>
        </w:rPr>
        <w:t>al 30</w:t>
      </w:r>
      <w:r w:rsidR="004825F8">
        <w:rPr>
          <w:rFonts w:ascii="Arial" w:hAnsi="Arial" w:cs="Arial"/>
          <w:sz w:val="22"/>
          <w:szCs w:val="22"/>
        </w:rPr>
        <w:t xml:space="preserve"> de abril de 2016</w:t>
      </w:r>
      <w:r w:rsidRPr="00C17DE1">
        <w:rPr>
          <w:rFonts w:ascii="Arial" w:hAnsi="Arial" w:cs="Arial"/>
          <w:sz w:val="22"/>
          <w:szCs w:val="22"/>
        </w:rPr>
        <w:t xml:space="preserve">, </w:t>
      </w:r>
      <w:r w:rsidR="004825F8">
        <w:rPr>
          <w:rFonts w:ascii="Arial" w:hAnsi="Arial" w:cs="Arial"/>
          <w:sz w:val="22"/>
          <w:szCs w:val="22"/>
        </w:rPr>
        <w:t>fechado el 12</w:t>
      </w:r>
      <w:r w:rsidR="00C17DE1">
        <w:rPr>
          <w:rFonts w:ascii="Arial" w:hAnsi="Arial" w:cs="Arial"/>
          <w:sz w:val="22"/>
          <w:szCs w:val="22"/>
        </w:rPr>
        <w:t xml:space="preserve"> de julio de 2016</w:t>
      </w:r>
      <w:r w:rsidRPr="00C17DE1">
        <w:rPr>
          <w:rFonts w:ascii="Arial" w:hAnsi="Arial" w:cs="Arial"/>
          <w:sz w:val="22"/>
          <w:szCs w:val="22"/>
        </w:rPr>
        <w:t>.</w:t>
      </w:r>
    </w:p>
    <w:p w:rsidR="003511F7" w:rsidRPr="00B1152D" w:rsidRDefault="003511F7" w:rsidP="003511F7">
      <w:pPr>
        <w:pStyle w:val="Textoindependiente"/>
        <w:rPr>
          <w:rFonts w:ascii="Arial" w:hAnsi="Arial" w:cs="Arial"/>
          <w:sz w:val="22"/>
          <w:szCs w:val="22"/>
        </w:rPr>
      </w:pPr>
    </w:p>
    <w:p w:rsidR="003511F7" w:rsidRPr="00B1152D" w:rsidRDefault="003511F7" w:rsidP="003511F7">
      <w:pPr>
        <w:jc w:val="both"/>
        <w:rPr>
          <w:rFonts w:ascii="Arial" w:hAnsi="Arial" w:cs="Arial"/>
          <w:sz w:val="22"/>
          <w:szCs w:val="22"/>
        </w:rPr>
      </w:pPr>
      <w:r w:rsidRPr="00B1152D">
        <w:rPr>
          <w:rFonts w:ascii="Arial" w:hAnsi="Arial" w:cs="Arial"/>
          <w:sz w:val="22"/>
          <w:szCs w:val="22"/>
        </w:rPr>
        <w:t>A los efectos legales y profesionales pertinentes, hago la observación, que la labor de revisión contable y la validación de sus registros y saldos respectivos, no representan un examen de los Estados Financieros Consolidados con el carácter de una auditoría externa.</w:t>
      </w:r>
    </w:p>
    <w:p w:rsidR="001F3FAA" w:rsidRPr="00B1152D" w:rsidRDefault="001F3FAA" w:rsidP="00FA3F15">
      <w:pPr>
        <w:spacing w:line="280" w:lineRule="exact"/>
        <w:jc w:val="both"/>
        <w:rPr>
          <w:rFonts w:ascii="Arial" w:hAnsi="Arial" w:cs="Arial"/>
          <w:sz w:val="22"/>
          <w:szCs w:val="22"/>
          <w:lang w:val="es-MX"/>
        </w:rPr>
      </w:pPr>
    </w:p>
    <w:p w:rsidR="001F3FAA" w:rsidRPr="00B1152D" w:rsidRDefault="001F3FAA" w:rsidP="00FA3F15">
      <w:pPr>
        <w:spacing w:line="280" w:lineRule="exact"/>
        <w:jc w:val="both"/>
        <w:rPr>
          <w:rFonts w:ascii="Arial" w:hAnsi="Arial" w:cs="Arial"/>
          <w:sz w:val="22"/>
          <w:szCs w:val="22"/>
          <w:lang w:val="es-MX"/>
        </w:rPr>
      </w:pPr>
      <w:r w:rsidRPr="00B1152D">
        <w:rPr>
          <w:rFonts w:ascii="Arial" w:hAnsi="Arial" w:cs="Arial"/>
          <w:sz w:val="22"/>
          <w:szCs w:val="22"/>
          <w:lang w:val="es-MX"/>
        </w:rPr>
        <w:t>Los estados financieros consolidados de Corimon, C. A. y subsidiarias</w:t>
      </w:r>
      <w:r w:rsidR="005C383C" w:rsidRPr="00B1152D">
        <w:rPr>
          <w:rFonts w:ascii="Arial" w:hAnsi="Arial" w:cs="Arial"/>
          <w:sz w:val="22"/>
          <w:szCs w:val="22"/>
          <w:lang w:val="es-MX"/>
        </w:rPr>
        <w:t xml:space="preserve"> fueron preparados de conformidad con Normas Internacionales de Información Financieras (NIIF), adoptadas por la Junta de Normas Internacionales de Contabilidad (International Accounting Standards Board-</w:t>
      </w:r>
      <w:r w:rsidR="00073010" w:rsidRPr="00B1152D">
        <w:rPr>
          <w:rFonts w:ascii="Arial" w:hAnsi="Arial" w:cs="Arial"/>
          <w:sz w:val="22"/>
          <w:szCs w:val="22"/>
          <w:lang w:val="es-MX"/>
        </w:rPr>
        <w:t xml:space="preserve">IASB). </w:t>
      </w:r>
    </w:p>
    <w:p w:rsidR="00073010" w:rsidRPr="00B1152D" w:rsidRDefault="00073010" w:rsidP="00FA3F15">
      <w:pPr>
        <w:spacing w:line="280" w:lineRule="exact"/>
        <w:jc w:val="both"/>
        <w:rPr>
          <w:rFonts w:ascii="Arial" w:hAnsi="Arial" w:cs="Arial"/>
          <w:sz w:val="22"/>
          <w:szCs w:val="22"/>
          <w:lang w:val="es-MX"/>
        </w:rPr>
      </w:pPr>
    </w:p>
    <w:p w:rsidR="00C03447" w:rsidRDefault="00B0598E" w:rsidP="00FA3F15">
      <w:pPr>
        <w:spacing w:line="280" w:lineRule="exact"/>
        <w:jc w:val="both"/>
        <w:rPr>
          <w:rFonts w:ascii="Arial" w:hAnsi="Arial" w:cs="Arial"/>
          <w:sz w:val="22"/>
          <w:szCs w:val="22"/>
          <w:lang w:val="es-MX"/>
        </w:rPr>
      </w:pPr>
      <w:r w:rsidRPr="00B1152D">
        <w:rPr>
          <w:rFonts w:ascii="Arial" w:hAnsi="Arial" w:cs="Arial"/>
          <w:sz w:val="22"/>
          <w:szCs w:val="22"/>
          <w:lang w:val="es-MX"/>
        </w:rPr>
        <w:t>Es</w:t>
      </w:r>
      <w:r w:rsidR="00073010" w:rsidRPr="00B1152D">
        <w:rPr>
          <w:rFonts w:ascii="Arial" w:hAnsi="Arial" w:cs="Arial"/>
          <w:sz w:val="22"/>
          <w:szCs w:val="22"/>
          <w:lang w:val="es-MX"/>
        </w:rPr>
        <w:t>os estados financieros con</w:t>
      </w:r>
      <w:r w:rsidR="00DB67A3" w:rsidRPr="00B1152D">
        <w:rPr>
          <w:rFonts w:ascii="Arial" w:hAnsi="Arial" w:cs="Arial"/>
          <w:sz w:val="22"/>
          <w:szCs w:val="22"/>
          <w:lang w:val="es-MX"/>
        </w:rPr>
        <w:t xml:space="preserve">solidados </w:t>
      </w:r>
      <w:r w:rsidR="00DB67A3" w:rsidRPr="00C17DE1">
        <w:rPr>
          <w:rFonts w:ascii="Arial" w:hAnsi="Arial" w:cs="Arial"/>
          <w:sz w:val="22"/>
          <w:szCs w:val="22"/>
          <w:lang w:val="es-MX"/>
        </w:rPr>
        <w:t>al 30 de abril de 201</w:t>
      </w:r>
      <w:r w:rsidR="00C17DE1" w:rsidRPr="00C17DE1">
        <w:rPr>
          <w:rFonts w:ascii="Arial" w:hAnsi="Arial" w:cs="Arial"/>
          <w:sz w:val="22"/>
          <w:szCs w:val="22"/>
          <w:lang w:val="es-MX"/>
        </w:rPr>
        <w:t>6</w:t>
      </w:r>
      <w:r w:rsidR="00073010" w:rsidRPr="00B1152D">
        <w:rPr>
          <w:rFonts w:ascii="Arial" w:hAnsi="Arial" w:cs="Arial"/>
          <w:sz w:val="22"/>
          <w:szCs w:val="22"/>
          <w:lang w:val="es-MX"/>
        </w:rPr>
        <w:t>, y por el año entonces</w:t>
      </w:r>
      <w:r w:rsidRPr="00B1152D">
        <w:rPr>
          <w:rFonts w:ascii="Arial" w:hAnsi="Arial" w:cs="Arial"/>
          <w:sz w:val="22"/>
          <w:szCs w:val="22"/>
          <w:lang w:val="es-MX"/>
        </w:rPr>
        <w:t xml:space="preserve"> terminado</w:t>
      </w:r>
      <w:r w:rsidR="00073010" w:rsidRPr="00B1152D">
        <w:rPr>
          <w:rFonts w:ascii="Arial" w:hAnsi="Arial" w:cs="Arial"/>
          <w:sz w:val="22"/>
          <w:szCs w:val="22"/>
          <w:lang w:val="es-MX"/>
        </w:rPr>
        <w:t xml:space="preserve">, </w:t>
      </w:r>
      <w:r w:rsidR="001306AA" w:rsidRPr="00B1152D">
        <w:rPr>
          <w:rFonts w:ascii="Arial" w:hAnsi="Arial" w:cs="Arial"/>
          <w:sz w:val="22"/>
          <w:szCs w:val="22"/>
          <w:lang w:val="es-MX"/>
        </w:rPr>
        <w:t>preparado</w:t>
      </w:r>
      <w:r w:rsidR="00073010" w:rsidRPr="00B1152D">
        <w:rPr>
          <w:rFonts w:ascii="Arial" w:hAnsi="Arial" w:cs="Arial"/>
          <w:sz w:val="22"/>
          <w:szCs w:val="22"/>
          <w:lang w:val="es-MX"/>
        </w:rPr>
        <w:t xml:space="preserve"> de acuerdo con Normas Internacionales de Información Financiera, han sido</w:t>
      </w:r>
      <w:r w:rsidR="003140B1">
        <w:rPr>
          <w:rFonts w:ascii="Arial" w:hAnsi="Arial" w:cs="Arial"/>
          <w:sz w:val="22"/>
          <w:szCs w:val="22"/>
          <w:lang w:val="es-MX"/>
        </w:rPr>
        <w:t xml:space="preserve"> </w:t>
      </w:r>
      <w:r w:rsidR="00073010" w:rsidRPr="00B1152D">
        <w:rPr>
          <w:rFonts w:ascii="Arial" w:hAnsi="Arial" w:cs="Arial"/>
          <w:sz w:val="22"/>
          <w:szCs w:val="22"/>
          <w:lang w:val="es-MX"/>
        </w:rPr>
        <w:lastRenderedPageBreak/>
        <w:t xml:space="preserve">autorizados </w:t>
      </w:r>
      <w:r w:rsidR="00073010" w:rsidRPr="00F33468">
        <w:rPr>
          <w:rFonts w:ascii="Arial" w:hAnsi="Arial" w:cs="Arial"/>
          <w:sz w:val="22"/>
          <w:szCs w:val="22"/>
          <w:lang w:val="es-MX"/>
        </w:rPr>
        <w:t xml:space="preserve">para su emisión por la Junta Directiva el </w:t>
      </w:r>
      <w:r w:rsidR="00F33468" w:rsidRPr="00F33468">
        <w:rPr>
          <w:rFonts w:ascii="Arial" w:hAnsi="Arial" w:cs="Arial"/>
          <w:sz w:val="22"/>
          <w:szCs w:val="22"/>
          <w:lang w:val="es-MX"/>
        </w:rPr>
        <w:t>11 de julio de 2016</w:t>
      </w:r>
      <w:r w:rsidR="00073010" w:rsidRPr="00B1152D">
        <w:rPr>
          <w:rFonts w:ascii="Arial" w:hAnsi="Arial" w:cs="Arial"/>
          <w:sz w:val="22"/>
          <w:szCs w:val="22"/>
          <w:lang w:val="es-MX"/>
        </w:rPr>
        <w:t>. Sin emba</w:t>
      </w:r>
      <w:r w:rsidR="009F3390" w:rsidRPr="00B1152D">
        <w:rPr>
          <w:rFonts w:ascii="Arial" w:hAnsi="Arial" w:cs="Arial"/>
          <w:sz w:val="22"/>
          <w:szCs w:val="22"/>
          <w:lang w:val="es-MX"/>
        </w:rPr>
        <w:t>rgo, l</w:t>
      </w:r>
      <w:r w:rsidR="00073010" w:rsidRPr="00B1152D">
        <w:rPr>
          <w:rFonts w:ascii="Arial" w:hAnsi="Arial" w:cs="Arial"/>
          <w:sz w:val="22"/>
          <w:szCs w:val="22"/>
          <w:lang w:val="es-MX"/>
        </w:rPr>
        <w:t xml:space="preserve">a Asamblea de Accionistas pudiese realizar </w:t>
      </w:r>
      <w:r w:rsidR="006C2F14" w:rsidRPr="00B1152D">
        <w:rPr>
          <w:rFonts w:ascii="Arial" w:hAnsi="Arial" w:cs="Arial"/>
          <w:sz w:val="22"/>
          <w:szCs w:val="22"/>
          <w:lang w:val="es-MX"/>
        </w:rPr>
        <w:t>cualquier modificación sobre los mismos.</w:t>
      </w:r>
    </w:p>
    <w:p w:rsidR="00F33468" w:rsidRDefault="00F33468" w:rsidP="00FA3F15">
      <w:pPr>
        <w:spacing w:line="280" w:lineRule="exact"/>
        <w:jc w:val="both"/>
        <w:rPr>
          <w:rFonts w:ascii="Arial" w:hAnsi="Arial" w:cs="Arial"/>
          <w:sz w:val="22"/>
          <w:szCs w:val="22"/>
          <w:lang w:val="es-MX"/>
        </w:rPr>
      </w:pPr>
    </w:p>
    <w:p w:rsidR="00F33468" w:rsidRDefault="00F33468" w:rsidP="00F33468">
      <w:pPr>
        <w:pStyle w:val="Prrafo096p10"/>
        <w:ind w:left="0"/>
        <w:rPr>
          <w:rFonts w:ascii="Arial" w:hAnsi="Arial" w:cs="Arial"/>
        </w:rPr>
      </w:pPr>
      <w:r w:rsidRPr="00F33468">
        <w:rPr>
          <w:rFonts w:ascii="Arial" w:hAnsi="Arial" w:cs="Arial"/>
        </w:rPr>
        <w:t xml:space="preserve">Los estados financieros consolidados han sido ajustados para reconocer los efectos de la inflación, de acuerdo con lo establecido en la NIC 29 </w:t>
      </w:r>
      <w:r w:rsidRPr="00F33468">
        <w:rPr>
          <w:rFonts w:ascii="Arial" w:hAnsi="Arial" w:cs="Arial"/>
          <w:i/>
        </w:rPr>
        <w:t>Información Financiera en Economías Hiperinflacionarias</w:t>
      </w:r>
      <w:r w:rsidRPr="00F33468">
        <w:rPr>
          <w:rFonts w:ascii="Arial" w:hAnsi="Arial" w:cs="Arial"/>
        </w:rPr>
        <w:t>, excepto las siguientes partidas, que ha</w:t>
      </w:r>
      <w:r w:rsidR="0073174B">
        <w:rPr>
          <w:rFonts w:ascii="Arial" w:hAnsi="Arial" w:cs="Arial"/>
        </w:rPr>
        <w:t>n</w:t>
      </w:r>
      <w:r w:rsidRPr="00F33468">
        <w:rPr>
          <w:rFonts w:ascii="Arial" w:hAnsi="Arial" w:cs="Arial"/>
        </w:rPr>
        <w:t xml:space="preserve"> sido medidas usando una base alternativa a la fecha del estado consolidado de situación financiera:</w:t>
      </w:r>
    </w:p>
    <w:tbl>
      <w:tblPr>
        <w:tblW w:w="5280" w:type="dxa"/>
        <w:jc w:val="center"/>
        <w:tblCellMar>
          <w:left w:w="70" w:type="dxa"/>
          <w:right w:w="70" w:type="dxa"/>
        </w:tblCellMar>
        <w:tblLook w:val="04A0" w:firstRow="1" w:lastRow="0" w:firstColumn="1" w:lastColumn="0" w:noHBand="0" w:noVBand="1"/>
      </w:tblPr>
      <w:tblGrid>
        <w:gridCol w:w="3460"/>
        <w:gridCol w:w="280"/>
        <w:gridCol w:w="1540"/>
      </w:tblGrid>
      <w:tr w:rsidR="00F33468" w:rsidTr="00F33468">
        <w:trPr>
          <w:trHeight w:val="225"/>
          <w:jc w:val="center"/>
        </w:trPr>
        <w:tc>
          <w:tcPr>
            <w:tcW w:w="3460" w:type="dxa"/>
            <w:tcBorders>
              <w:top w:val="nil"/>
              <w:left w:val="nil"/>
              <w:bottom w:val="single" w:sz="4" w:space="0" w:color="auto"/>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Partida</w:t>
            </w:r>
          </w:p>
        </w:tc>
        <w:tc>
          <w:tcPr>
            <w:tcW w:w="28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1540" w:type="dxa"/>
            <w:tcBorders>
              <w:top w:val="nil"/>
              <w:left w:val="nil"/>
              <w:bottom w:val="single" w:sz="4" w:space="0" w:color="auto"/>
              <w:right w:val="nil"/>
            </w:tcBorders>
            <w:shd w:val="clear" w:color="auto" w:fill="auto"/>
            <w:noWrap/>
            <w:vAlign w:val="bottom"/>
            <w:hideMark/>
          </w:tcPr>
          <w:p w:rsidR="00F33468" w:rsidRDefault="00F33468">
            <w:pPr>
              <w:jc w:val="center"/>
              <w:rPr>
                <w:rFonts w:ascii="Arial" w:hAnsi="Arial" w:cs="Arial"/>
                <w:color w:val="000000"/>
                <w:sz w:val="16"/>
                <w:szCs w:val="16"/>
              </w:rPr>
            </w:pPr>
            <w:r>
              <w:rPr>
                <w:rFonts w:ascii="Arial" w:hAnsi="Arial" w:cs="Arial"/>
                <w:color w:val="000000"/>
                <w:sz w:val="16"/>
                <w:szCs w:val="16"/>
              </w:rPr>
              <w:t>Base de medición</w:t>
            </w:r>
          </w:p>
        </w:tc>
      </w:tr>
      <w:tr w:rsidR="00F33468" w:rsidTr="00F33468">
        <w:trPr>
          <w:trHeight w:val="225"/>
          <w:jc w:val="center"/>
        </w:trPr>
        <w:tc>
          <w:tcPr>
            <w:tcW w:w="346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154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r>
      <w:tr w:rsidR="00F33468" w:rsidTr="00F33468">
        <w:trPr>
          <w:trHeight w:val="225"/>
          <w:jc w:val="center"/>
        </w:trPr>
        <w:tc>
          <w:tcPr>
            <w:tcW w:w="346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Activos financieros disponibles para la venta</w:t>
            </w:r>
          </w:p>
        </w:tc>
        <w:tc>
          <w:tcPr>
            <w:tcW w:w="28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154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Valor razonable</w:t>
            </w:r>
          </w:p>
        </w:tc>
      </w:tr>
      <w:tr w:rsidR="00F33468" w:rsidTr="00F33468">
        <w:trPr>
          <w:trHeight w:val="225"/>
          <w:jc w:val="center"/>
        </w:trPr>
        <w:tc>
          <w:tcPr>
            <w:tcW w:w="346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Propiedades plantas y equipos</w:t>
            </w:r>
          </w:p>
        </w:tc>
        <w:tc>
          <w:tcPr>
            <w:tcW w:w="28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154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Valor razonable</w:t>
            </w:r>
          </w:p>
        </w:tc>
      </w:tr>
      <w:tr w:rsidR="00F33468" w:rsidTr="00F33468">
        <w:trPr>
          <w:trHeight w:val="225"/>
          <w:jc w:val="center"/>
        </w:trPr>
        <w:tc>
          <w:tcPr>
            <w:tcW w:w="346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Propiedades de inversión</w:t>
            </w:r>
          </w:p>
        </w:tc>
        <w:tc>
          <w:tcPr>
            <w:tcW w:w="28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154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Valor razonable</w:t>
            </w:r>
          </w:p>
        </w:tc>
      </w:tr>
      <w:tr w:rsidR="00F33468" w:rsidTr="00F33468">
        <w:trPr>
          <w:trHeight w:val="225"/>
          <w:jc w:val="center"/>
        </w:trPr>
        <w:tc>
          <w:tcPr>
            <w:tcW w:w="346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Pasivo por beneficios definidos</w:t>
            </w:r>
          </w:p>
        </w:tc>
        <w:tc>
          <w:tcPr>
            <w:tcW w:w="28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p>
        </w:tc>
        <w:tc>
          <w:tcPr>
            <w:tcW w:w="1540" w:type="dxa"/>
            <w:tcBorders>
              <w:top w:val="nil"/>
              <w:left w:val="nil"/>
              <w:bottom w:val="nil"/>
              <w:right w:val="nil"/>
            </w:tcBorders>
            <w:shd w:val="clear" w:color="auto" w:fill="auto"/>
            <w:noWrap/>
            <w:vAlign w:val="bottom"/>
            <w:hideMark/>
          </w:tcPr>
          <w:p w:rsidR="00F33468" w:rsidRDefault="00F33468">
            <w:pPr>
              <w:rPr>
                <w:rFonts w:ascii="Arial" w:hAnsi="Arial" w:cs="Arial"/>
                <w:color w:val="000000"/>
                <w:sz w:val="16"/>
                <w:szCs w:val="16"/>
              </w:rPr>
            </w:pPr>
            <w:r>
              <w:rPr>
                <w:rFonts w:ascii="Arial" w:hAnsi="Arial" w:cs="Arial"/>
                <w:color w:val="000000"/>
                <w:sz w:val="16"/>
                <w:szCs w:val="16"/>
              </w:rPr>
              <w:t>Limitado</w:t>
            </w:r>
          </w:p>
        </w:tc>
      </w:tr>
    </w:tbl>
    <w:p w:rsidR="00F33468" w:rsidRDefault="00F33468" w:rsidP="00F33468">
      <w:pPr>
        <w:pStyle w:val="Prrafo096p10"/>
        <w:ind w:left="0"/>
        <w:rPr>
          <w:rFonts w:ascii="Arial" w:hAnsi="Arial" w:cs="Arial"/>
        </w:rPr>
      </w:pPr>
    </w:p>
    <w:p w:rsidR="00F33468" w:rsidRPr="00F33468" w:rsidRDefault="00F33468" w:rsidP="00F33468">
      <w:pPr>
        <w:pStyle w:val="Prrafo096p10"/>
        <w:ind w:left="0"/>
        <w:rPr>
          <w:rFonts w:ascii="Arial" w:hAnsi="Arial" w:cs="Arial"/>
        </w:rPr>
      </w:pPr>
      <w:r w:rsidRPr="00F33468">
        <w:rPr>
          <w:rFonts w:ascii="Arial" w:hAnsi="Arial" w:cs="Arial"/>
        </w:rPr>
        <w:t>La NIC 29 establece que los estados financieros de una Compañía, cuando su moneda funcional sea la de una economía hiperinflacionaria, se presenten en términos de la unidad de medida corriente a la fecha del estado consol</w:t>
      </w:r>
      <w:r w:rsidR="0073174B">
        <w:rPr>
          <w:rFonts w:ascii="Arial" w:hAnsi="Arial" w:cs="Arial"/>
        </w:rPr>
        <w:t xml:space="preserve">idado de situación financiera. </w:t>
      </w:r>
      <w:r w:rsidRPr="00F33468">
        <w:rPr>
          <w:rFonts w:ascii="Arial" w:hAnsi="Arial" w:cs="Arial"/>
        </w:rPr>
        <w:t>En consecuencia, los estados financieros consolidados del Grupo se presentan en términos de la unidad de medida cor</w:t>
      </w:r>
      <w:r w:rsidR="0073174B">
        <w:rPr>
          <w:rFonts w:ascii="Arial" w:hAnsi="Arial" w:cs="Arial"/>
        </w:rPr>
        <w:t xml:space="preserve">riente a la fecha del reporte. </w:t>
      </w:r>
      <w:r w:rsidRPr="00F33468">
        <w:rPr>
          <w:rFonts w:ascii="Arial" w:hAnsi="Arial" w:cs="Arial"/>
        </w:rPr>
        <w:t xml:space="preserve">Tanto las cifras comparativas correspondientes al período anterior exigidas por la NIC 1 </w:t>
      </w:r>
      <w:r w:rsidRPr="00F33468">
        <w:rPr>
          <w:rFonts w:ascii="Arial" w:hAnsi="Arial" w:cs="Arial"/>
          <w:i/>
        </w:rPr>
        <w:t>Presentación de Estados Financieros</w:t>
      </w:r>
      <w:r w:rsidRPr="00F33468">
        <w:rPr>
          <w:rFonts w:ascii="Arial" w:hAnsi="Arial" w:cs="Arial"/>
        </w:rPr>
        <w:t>, como cualquier otra información referente a períodos precedentes, debe quedar también establecida en términos de la unidad de medida corriente a la fecha del estado consolidado de situación financiera.</w:t>
      </w:r>
    </w:p>
    <w:p w:rsidR="00F33468" w:rsidRDefault="00F33468" w:rsidP="00F33468">
      <w:pPr>
        <w:pStyle w:val="Prrafo096p10"/>
        <w:ind w:left="0"/>
        <w:rPr>
          <w:rFonts w:ascii="Arial" w:hAnsi="Arial" w:cs="Arial"/>
        </w:rPr>
      </w:pPr>
      <w:r w:rsidRPr="00F33468">
        <w:rPr>
          <w:rFonts w:ascii="Arial" w:hAnsi="Arial" w:cs="Arial"/>
        </w:rPr>
        <w:t>El factor de inflación acumulado es determinado para el territorio nacional por el INPC, publicado por el Banco Central de Venezuela (BCV).</w:t>
      </w:r>
    </w:p>
    <w:p w:rsidR="00F33468" w:rsidRPr="00F33468" w:rsidRDefault="00F33468" w:rsidP="00F33468">
      <w:pPr>
        <w:pStyle w:val="Prrafo096p10"/>
        <w:ind w:left="0"/>
        <w:rPr>
          <w:rFonts w:ascii="Arial" w:hAnsi="Arial" w:cs="Arial"/>
        </w:rPr>
      </w:pPr>
      <w:r w:rsidRPr="00F33468">
        <w:rPr>
          <w:rFonts w:ascii="Arial" w:hAnsi="Arial" w:cs="Arial"/>
        </w:rPr>
        <w:t>Para el momento de la preparación de los estados financieros consolidados, no se disponía de información oficial relacionada con el INPC desde el 1° de enero hasta 30 de abril de 2016, ya que este no ha</w:t>
      </w:r>
      <w:r w:rsidR="0073174B">
        <w:rPr>
          <w:rFonts w:ascii="Arial" w:hAnsi="Arial" w:cs="Arial"/>
        </w:rPr>
        <w:t xml:space="preserve">bía sido publicado por el BCV. </w:t>
      </w:r>
      <w:r w:rsidRPr="00F33468">
        <w:rPr>
          <w:rFonts w:ascii="Arial" w:hAnsi="Arial" w:cs="Arial"/>
        </w:rPr>
        <w:t>El Grupo utilizó para la estimación de este INPC un estudio realizado por profesionales ex</w:t>
      </w:r>
      <w:r w:rsidR="0073174B">
        <w:rPr>
          <w:rFonts w:ascii="Arial" w:hAnsi="Arial" w:cs="Arial"/>
        </w:rPr>
        <w:t xml:space="preserve">pertos en la materia. </w:t>
      </w:r>
      <w:r w:rsidRPr="00F33468">
        <w:rPr>
          <w:rFonts w:ascii="Arial" w:hAnsi="Arial" w:cs="Arial"/>
        </w:rPr>
        <w:t>Por consiguiente, el INPC utilizados para la preparación de los estados financieros consolidados en bolívares constantes fueron estimados y se indican a continuación:</w:t>
      </w:r>
    </w:p>
    <w:tbl>
      <w:tblPr>
        <w:tblW w:w="6812" w:type="dxa"/>
        <w:jc w:val="center"/>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739"/>
        <w:gridCol w:w="1843"/>
        <w:gridCol w:w="1850"/>
      </w:tblGrid>
      <w:tr w:rsidR="0073174B" w:rsidRPr="00756E6B" w:rsidTr="0073174B">
        <w:trPr>
          <w:trHeight w:val="300"/>
          <w:jc w:val="center"/>
        </w:trPr>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739"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1843" w:type="dxa"/>
            <w:shd w:val="clear" w:color="auto" w:fill="auto"/>
            <w:noWrap/>
            <w:vAlign w:val="center"/>
            <w:hideMark/>
          </w:tcPr>
          <w:p w:rsidR="0073174B" w:rsidRPr="00756E6B" w:rsidRDefault="0073174B" w:rsidP="0073174B">
            <w:pPr>
              <w:jc w:val="center"/>
              <w:rPr>
                <w:rFonts w:ascii="Arial" w:hAnsi="Arial" w:cs="Arial"/>
                <w:b/>
                <w:bCs/>
                <w:sz w:val="16"/>
                <w:szCs w:val="20"/>
              </w:rPr>
            </w:pPr>
            <w:r w:rsidRPr="00756E6B">
              <w:rPr>
                <w:rFonts w:ascii="Arial" w:hAnsi="Arial" w:cs="Arial"/>
                <w:b/>
                <w:bCs/>
                <w:sz w:val="16"/>
                <w:szCs w:val="20"/>
              </w:rPr>
              <w:t>Índice</w:t>
            </w:r>
          </w:p>
        </w:tc>
        <w:tc>
          <w:tcPr>
            <w:tcW w:w="1850" w:type="dxa"/>
            <w:shd w:val="clear" w:color="auto" w:fill="auto"/>
            <w:noWrap/>
            <w:vAlign w:val="center"/>
            <w:hideMark/>
          </w:tcPr>
          <w:p w:rsidR="0073174B" w:rsidRPr="00756E6B" w:rsidRDefault="0073174B" w:rsidP="0073174B">
            <w:pPr>
              <w:jc w:val="center"/>
              <w:rPr>
                <w:rFonts w:ascii="Arial" w:hAnsi="Arial" w:cs="Arial"/>
                <w:b/>
                <w:bCs/>
                <w:sz w:val="16"/>
                <w:szCs w:val="20"/>
              </w:rPr>
            </w:pPr>
            <w:r w:rsidRPr="00756E6B">
              <w:rPr>
                <w:rFonts w:ascii="Arial" w:hAnsi="Arial" w:cs="Arial"/>
                <w:b/>
                <w:bCs/>
                <w:sz w:val="16"/>
                <w:szCs w:val="20"/>
              </w:rPr>
              <w:t>Variación</w:t>
            </w:r>
          </w:p>
        </w:tc>
      </w:tr>
      <w:tr w:rsidR="0073174B" w:rsidRPr="00756E6B" w:rsidTr="0073174B">
        <w:trPr>
          <w:trHeight w:val="259"/>
          <w:jc w:val="center"/>
        </w:trPr>
        <w:tc>
          <w:tcPr>
            <w:tcW w:w="340" w:type="dxa"/>
            <w:shd w:val="clear" w:color="auto" w:fill="auto"/>
            <w:noWrap/>
            <w:vAlign w:val="center"/>
            <w:hideMark/>
          </w:tcPr>
          <w:p w:rsidR="0073174B" w:rsidRPr="00756E6B" w:rsidRDefault="0073174B" w:rsidP="0073174B">
            <w:pPr>
              <w:jc w:val="center"/>
              <w:rPr>
                <w:rFonts w:ascii="Arial" w:hAnsi="Arial" w:cs="Arial"/>
                <w:b/>
                <w:bCs/>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340"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739" w:type="dxa"/>
            <w:shd w:val="clear" w:color="auto" w:fill="auto"/>
            <w:noWrap/>
            <w:vAlign w:val="center"/>
            <w:hideMark/>
          </w:tcPr>
          <w:p w:rsidR="0073174B" w:rsidRPr="00756E6B" w:rsidRDefault="0073174B" w:rsidP="0073174B">
            <w:pPr>
              <w:jc w:val="center"/>
              <w:rPr>
                <w:rFonts w:ascii="Arial" w:hAnsi="Arial" w:cs="Arial"/>
                <w:sz w:val="16"/>
                <w:szCs w:val="20"/>
              </w:rPr>
            </w:pPr>
          </w:p>
        </w:tc>
        <w:tc>
          <w:tcPr>
            <w:tcW w:w="1843" w:type="dxa"/>
            <w:tcBorders>
              <w:bottom w:val="single" w:sz="4" w:space="0" w:color="auto"/>
            </w:tcBorders>
            <w:shd w:val="clear" w:color="auto" w:fill="auto"/>
            <w:noWrap/>
            <w:vAlign w:val="center"/>
            <w:hideMark/>
          </w:tcPr>
          <w:p w:rsidR="0073174B" w:rsidRPr="00756E6B" w:rsidRDefault="0073174B" w:rsidP="0073174B">
            <w:pPr>
              <w:jc w:val="center"/>
              <w:rPr>
                <w:rFonts w:ascii="Arial" w:hAnsi="Arial" w:cs="Arial"/>
                <w:b/>
                <w:bCs/>
                <w:sz w:val="16"/>
                <w:szCs w:val="20"/>
              </w:rPr>
            </w:pPr>
            <w:r w:rsidRPr="00756E6B">
              <w:rPr>
                <w:rFonts w:ascii="Arial" w:hAnsi="Arial" w:cs="Arial"/>
                <w:b/>
                <w:bCs/>
                <w:sz w:val="16"/>
                <w:szCs w:val="20"/>
              </w:rPr>
              <w:t>acumulado</w:t>
            </w:r>
          </w:p>
        </w:tc>
        <w:tc>
          <w:tcPr>
            <w:tcW w:w="1850" w:type="dxa"/>
            <w:tcBorders>
              <w:bottom w:val="single" w:sz="4" w:space="0" w:color="auto"/>
            </w:tcBorders>
            <w:shd w:val="clear" w:color="auto" w:fill="auto"/>
            <w:noWrap/>
            <w:vAlign w:val="center"/>
            <w:hideMark/>
          </w:tcPr>
          <w:p w:rsidR="0073174B" w:rsidRPr="00756E6B" w:rsidRDefault="0073174B" w:rsidP="0073174B">
            <w:pPr>
              <w:jc w:val="center"/>
              <w:rPr>
                <w:rFonts w:ascii="Arial" w:hAnsi="Arial" w:cs="Arial"/>
                <w:b/>
                <w:bCs/>
                <w:sz w:val="16"/>
                <w:szCs w:val="20"/>
              </w:rPr>
            </w:pPr>
            <w:r w:rsidRPr="00756E6B">
              <w:rPr>
                <w:rFonts w:ascii="Arial" w:hAnsi="Arial" w:cs="Arial"/>
                <w:b/>
                <w:bCs/>
                <w:sz w:val="16"/>
                <w:szCs w:val="20"/>
              </w:rPr>
              <w:t>%</w:t>
            </w:r>
          </w:p>
        </w:tc>
      </w:tr>
      <w:tr w:rsidR="0073174B" w:rsidRPr="00756E6B" w:rsidTr="0073174B">
        <w:trPr>
          <w:trHeight w:val="308"/>
          <w:jc w:val="center"/>
        </w:trPr>
        <w:tc>
          <w:tcPr>
            <w:tcW w:w="3119" w:type="dxa"/>
            <w:gridSpan w:val="8"/>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INPC al 30 de abril de 2016 (estimado)</w:t>
            </w:r>
          </w:p>
        </w:tc>
        <w:tc>
          <w:tcPr>
            <w:tcW w:w="1843" w:type="dxa"/>
            <w:tcBorders>
              <w:top w:val="single" w:sz="4" w:space="0" w:color="auto"/>
            </w:tcBorders>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3507.22</w:t>
            </w:r>
          </w:p>
        </w:tc>
        <w:tc>
          <w:tcPr>
            <w:tcW w:w="1850" w:type="dxa"/>
            <w:tcBorders>
              <w:top w:val="single" w:sz="4" w:space="0" w:color="auto"/>
            </w:tcBorders>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243.71</w:t>
            </w:r>
          </w:p>
        </w:tc>
      </w:tr>
      <w:tr w:rsidR="0073174B" w:rsidRPr="00756E6B" w:rsidTr="0073174B">
        <w:trPr>
          <w:trHeight w:val="308"/>
          <w:jc w:val="center"/>
        </w:trPr>
        <w:tc>
          <w:tcPr>
            <w:tcW w:w="3119" w:type="dxa"/>
            <w:gridSpan w:val="8"/>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INPC al 30 de abril de 2015 (estimado)</w:t>
            </w:r>
          </w:p>
        </w:tc>
        <w:tc>
          <w:tcPr>
            <w:tcW w:w="1843" w:type="dxa"/>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1020.4</w:t>
            </w:r>
          </w:p>
        </w:tc>
        <w:tc>
          <w:tcPr>
            <w:tcW w:w="1850" w:type="dxa"/>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76.11</w:t>
            </w:r>
          </w:p>
        </w:tc>
      </w:tr>
      <w:tr w:rsidR="0073174B" w:rsidRPr="00756E6B" w:rsidTr="0073174B">
        <w:trPr>
          <w:trHeight w:val="308"/>
          <w:jc w:val="center"/>
        </w:trPr>
        <w:tc>
          <w:tcPr>
            <w:tcW w:w="3119" w:type="dxa"/>
            <w:gridSpan w:val="8"/>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 xml:space="preserve">INPC al 30 de abril de 2015 (real) </w:t>
            </w:r>
            <w:r w:rsidRPr="00756E6B">
              <w:rPr>
                <w:rFonts w:ascii="Arial" w:hAnsi="Arial" w:cs="Arial"/>
                <w:sz w:val="16"/>
                <w:szCs w:val="20"/>
                <w:vertAlign w:val="superscript"/>
              </w:rPr>
              <w:t>1</w:t>
            </w:r>
          </w:p>
        </w:tc>
        <w:tc>
          <w:tcPr>
            <w:tcW w:w="1843" w:type="dxa"/>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1063.8</w:t>
            </w:r>
          </w:p>
        </w:tc>
        <w:tc>
          <w:tcPr>
            <w:tcW w:w="1850" w:type="dxa"/>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229.69</w:t>
            </w:r>
          </w:p>
        </w:tc>
      </w:tr>
      <w:tr w:rsidR="0073174B" w:rsidRPr="00756E6B" w:rsidTr="0073174B">
        <w:trPr>
          <w:trHeight w:val="308"/>
          <w:jc w:val="center"/>
        </w:trPr>
        <w:tc>
          <w:tcPr>
            <w:tcW w:w="3119" w:type="dxa"/>
            <w:gridSpan w:val="8"/>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 xml:space="preserve">INPC al 30 de abril de 2014 </w:t>
            </w:r>
            <w:r w:rsidRPr="00756E6B">
              <w:rPr>
                <w:rFonts w:ascii="Arial" w:hAnsi="Arial" w:cs="Arial"/>
                <w:sz w:val="16"/>
                <w:szCs w:val="20"/>
                <w:vertAlign w:val="superscript"/>
              </w:rPr>
              <w:t>1</w:t>
            </w:r>
          </w:p>
        </w:tc>
        <w:tc>
          <w:tcPr>
            <w:tcW w:w="1843" w:type="dxa"/>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579.4</w:t>
            </w:r>
          </w:p>
        </w:tc>
        <w:tc>
          <w:tcPr>
            <w:tcW w:w="1850" w:type="dxa"/>
            <w:shd w:val="clear" w:color="auto" w:fill="auto"/>
            <w:noWrap/>
            <w:vAlign w:val="center"/>
            <w:hideMark/>
          </w:tcPr>
          <w:p w:rsidR="0073174B" w:rsidRPr="00756E6B" w:rsidRDefault="0073174B" w:rsidP="0073174B">
            <w:pPr>
              <w:jc w:val="center"/>
              <w:rPr>
                <w:rFonts w:ascii="Arial" w:hAnsi="Arial" w:cs="Arial"/>
                <w:sz w:val="16"/>
                <w:szCs w:val="20"/>
              </w:rPr>
            </w:pPr>
            <w:r w:rsidRPr="00756E6B">
              <w:rPr>
                <w:rFonts w:ascii="Arial" w:hAnsi="Arial" w:cs="Arial"/>
                <w:sz w:val="16"/>
                <w:szCs w:val="20"/>
              </w:rPr>
              <w:t>61.48</w:t>
            </w:r>
          </w:p>
        </w:tc>
      </w:tr>
    </w:tbl>
    <w:p w:rsidR="00756E6B" w:rsidRPr="00756E6B" w:rsidRDefault="00756E6B" w:rsidP="007B122C">
      <w:pPr>
        <w:spacing w:line="280" w:lineRule="exact"/>
        <w:jc w:val="both"/>
        <w:rPr>
          <w:sz w:val="20"/>
        </w:rPr>
      </w:pPr>
    </w:p>
    <w:p w:rsidR="00585F8A" w:rsidRDefault="006C3463" w:rsidP="007B122C">
      <w:pPr>
        <w:spacing w:line="280" w:lineRule="exact"/>
        <w:jc w:val="both"/>
        <w:rPr>
          <w:rFonts w:ascii="Arial" w:hAnsi="Arial" w:cs="Arial"/>
          <w:sz w:val="22"/>
          <w:szCs w:val="22"/>
          <w:lang w:val="es-MX"/>
        </w:rPr>
      </w:pPr>
      <w:r w:rsidRPr="002E21F9">
        <w:rPr>
          <w:rFonts w:ascii="Arial" w:hAnsi="Arial" w:cs="Arial"/>
          <w:sz w:val="22"/>
          <w:szCs w:val="22"/>
          <w:lang w:val="es-MX"/>
        </w:rPr>
        <w:t>Las acciones</w:t>
      </w:r>
      <w:r w:rsidR="00FC40D1" w:rsidRPr="002E21F9">
        <w:rPr>
          <w:rFonts w:ascii="Arial" w:hAnsi="Arial" w:cs="Arial"/>
          <w:sz w:val="22"/>
          <w:szCs w:val="22"/>
          <w:lang w:val="es-MX"/>
        </w:rPr>
        <w:t xml:space="preserve"> de la Compañía están listadas en la Bolsa de Valores de Caracas</w:t>
      </w:r>
      <w:r w:rsidR="002E21F9" w:rsidRPr="002E21F9">
        <w:rPr>
          <w:rFonts w:ascii="Arial" w:hAnsi="Arial" w:cs="Arial"/>
          <w:sz w:val="22"/>
          <w:szCs w:val="22"/>
          <w:lang w:val="es-MX"/>
        </w:rPr>
        <w:t xml:space="preserve"> y emite obligaciones quirografarias al portador no convertibles en acciones; por lo que </w:t>
      </w:r>
      <w:r w:rsidR="00FC40D1" w:rsidRPr="002E21F9">
        <w:rPr>
          <w:rFonts w:ascii="Arial" w:hAnsi="Arial" w:cs="Arial"/>
          <w:sz w:val="22"/>
          <w:szCs w:val="22"/>
          <w:lang w:val="es-MX"/>
        </w:rPr>
        <w:t>está regulada por la normativa de la Superinte</w:t>
      </w:r>
      <w:r w:rsidR="00283AD5" w:rsidRPr="002E21F9">
        <w:rPr>
          <w:rFonts w:ascii="Arial" w:hAnsi="Arial" w:cs="Arial"/>
          <w:sz w:val="22"/>
          <w:szCs w:val="22"/>
          <w:lang w:val="es-MX"/>
        </w:rPr>
        <w:t>ndencia Nacional de Valores (SNV</w:t>
      </w:r>
      <w:r w:rsidR="00FC40D1" w:rsidRPr="002E21F9">
        <w:rPr>
          <w:rFonts w:ascii="Arial" w:hAnsi="Arial" w:cs="Arial"/>
          <w:sz w:val="22"/>
          <w:szCs w:val="22"/>
          <w:lang w:val="es-MX"/>
        </w:rPr>
        <w:t>) y la Ley de Mercado de Valores.</w:t>
      </w:r>
    </w:p>
    <w:p w:rsidR="007B122C" w:rsidRPr="007B122C" w:rsidRDefault="007B122C" w:rsidP="007B122C">
      <w:pPr>
        <w:spacing w:line="280" w:lineRule="exact"/>
        <w:jc w:val="both"/>
        <w:rPr>
          <w:rFonts w:ascii="Arial" w:hAnsi="Arial" w:cs="Arial"/>
          <w:sz w:val="22"/>
          <w:szCs w:val="22"/>
          <w:lang w:val="es-MX"/>
        </w:rPr>
      </w:pPr>
    </w:p>
    <w:p w:rsidR="003511F7" w:rsidRDefault="003511F7" w:rsidP="00F54C04">
      <w:pPr>
        <w:jc w:val="both"/>
        <w:rPr>
          <w:rFonts w:ascii="Arial" w:hAnsi="Arial" w:cs="Arial"/>
          <w:sz w:val="22"/>
          <w:szCs w:val="22"/>
        </w:rPr>
      </w:pPr>
      <w:r w:rsidRPr="00B1152D">
        <w:rPr>
          <w:rFonts w:ascii="Arial" w:hAnsi="Arial" w:cs="Arial"/>
          <w:sz w:val="22"/>
          <w:szCs w:val="22"/>
        </w:rPr>
        <w:t xml:space="preserve">El análisis de Gestión Administrativa se realizó de acuerdo a los criterios de análisis para la evaluación de las funciones de </w:t>
      </w:r>
      <w:smartTag w:uri="urn:schemas-microsoft-com:office:smarttags" w:element="PersonName">
        <w:smartTagPr>
          <w:attr w:name="ProductID" w:val="la Ciencia Administrativa"/>
        </w:smartTagPr>
        <w:r w:rsidRPr="00B1152D">
          <w:rPr>
            <w:rFonts w:ascii="Arial" w:hAnsi="Arial" w:cs="Arial"/>
            <w:sz w:val="22"/>
            <w:szCs w:val="22"/>
          </w:rPr>
          <w:t>la Ciencia Administrativa</w:t>
        </w:r>
      </w:smartTag>
      <w:r w:rsidRPr="00B1152D">
        <w:rPr>
          <w:rFonts w:ascii="Arial" w:hAnsi="Arial" w:cs="Arial"/>
          <w:sz w:val="22"/>
          <w:szCs w:val="22"/>
        </w:rPr>
        <w:t xml:space="preserve">; habiendo cumplido los administradores </w:t>
      </w:r>
      <w:r w:rsidRPr="00B1152D">
        <w:rPr>
          <w:rFonts w:ascii="Arial" w:hAnsi="Arial" w:cs="Arial"/>
          <w:sz w:val="22"/>
          <w:szCs w:val="22"/>
        </w:rPr>
        <w:lastRenderedPageBreak/>
        <w:t>de la Compañía y sus Subsidiarias con los deberes que imponen los Documentos Constitutivos, las leyes que la regulan y demás Normas Internas de Corimon, C.A. y sus Subsidiarias; por lo tanto recomendamos la aprobación de la gestión administrativa.</w:t>
      </w:r>
    </w:p>
    <w:p w:rsidR="0075665F" w:rsidRDefault="0075665F" w:rsidP="001055EA">
      <w:pPr>
        <w:jc w:val="both"/>
        <w:rPr>
          <w:rFonts w:ascii="Arial" w:hAnsi="Arial" w:cs="Arial"/>
          <w:sz w:val="22"/>
          <w:szCs w:val="22"/>
        </w:rPr>
      </w:pPr>
    </w:p>
    <w:p w:rsidR="001055EA" w:rsidRDefault="00F54C04" w:rsidP="001055EA">
      <w:pPr>
        <w:jc w:val="both"/>
        <w:rPr>
          <w:rFonts w:ascii="Arial" w:hAnsi="Arial" w:cs="Arial"/>
          <w:sz w:val="22"/>
          <w:szCs w:val="22"/>
        </w:rPr>
      </w:pPr>
      <w:r w:rsidRPr="00B1152D">
        <w:rPr>
          <w:rFonts w:ascii="Arial" w:hAnsi="Arial" w:cs="Arial"/>
          <w:sz w:val="22"/>
          <w:szCs w:val="22"/>
        </w:rPr>
        <w:t>Dej</w:t>
      </w:r>
      <w:r w:rsidR="00BD5849" w:rsidRPr="00B1152D">
        <w:rPr>
          <w:rFonts w:ascii="Arial" w:hAnsi="Arial" w:cs="Arial"/>
          <w:sz w:val="22"/>
          <w:szCs w:val="22"/>
        </w:rPr>
        <w:t>amos</w:t>
      </w:r>
      <w:r w:rsidRPr="00B1152D">
        <w:rPr>
          <w:rFonts w:ascii="Arial" w:hAnsi="Arial" w:cs="Arial"/>
          <w:sz w:val="22"/>
          <w:szCs w:val="22"/>
        </w:rPr>
        <w:t xml:space="preserve"> constancia que durante el período que abarca el presente informe no </w:t>
      </w:r>
      <w:r w:rsidR="009D3B88" w:rsidRPr="00B1152D">
        <w:rPr>
          <w:rFonts w:ascii="Arial" w:hAnsi="Arial" w:cs="Arial"/>
          <w:sz w:val="22"/>
          <w:szCs w:val="22"/>
        </w:rPr>
        <w:t>recibimos</w:t>
      </w:r>
      <w:r w:rsidRPr="00B1152D">
        <w:rPr>
          <w:rFonts w:ascii="Arial" w:hAnsi="Arial" w:cs="Arial"/>
          <w:sz w:val="22"/>
          <w:szCs w:val="22"/>
        </w:rPr>
        <w:t xml:space="preserve"> denuncias de ninguna naturaleza, por parte </w:t>
      </w:r>
      <w:r w:rsidR="00A30E3A" w:rsidRPr="00B1152D">
        <w:rPr>
          <w:rFonts w:ascii="Arial" w:hAnsi="Arial" w:cs="Arial"/>
          <w:sz w:val="22"/>
          <w:szCs w:val="22"/>
        </w:rPr>
        <w:t>de los accionistas de la Compañía y sus Subsidiarias</w:t>
      </w:r>
      <w:r w:rsidRPr="00B1152D">
        <w:rPr>
          <w:rFonts w:ascii="Arial" w:hAnsi="Arial" w:cs="Arial"/>
          <w:sz w:val="22"/>
          <w:szCs w:val="22"/>
        </w:rPr>
        <w:t xml:space="preserve">. </w:t>
      </w:r>
    </w:p>
    <w:p w:rsidR="005F1682" w:rsidRDefault="005F1682" w:rsidP="001055EA">
      <w:pPr>
        <w:jc w:val="both"/>
        <w:rPr>
          <w:rFonts w:ascii="Arial" w:hAnsi="Arial" w:cs="Arial"/>
          <w:sz w:val="22"/>
          <w:szCs w:val="22"/>
        </w:rPr>
      </w:pPr>
    </w:p>
    <w:p w:rsidR="005F1682" w:rsidRDefault="005F1682" w:rsidP="005F1682">
      <w:pPr>
        <w:ind w:right="-40"/>
        <w:jc w:val="both"/>
        <w:rPr>
          <w:rFonts w:ascii="Arial" w:hAnsi="Arial" w:cs="Arial"/>
          <w:sz w:val="22"/>
          <w:szCs w:val="22"/>
        </w:rPr>
      </w:pPr>
      <w:r w:rsidRPr="005F0032">
        <w:rPr>
          <w:rFonts w:ascii="Arial" w:hAnsi="Arial" w:cs="Arial"/>
          <w:sz w:val="22"/>
          <w:szCs w:val="22"/>
        </w:rPr>
        <w:t>Durante el año finalizado el 30</w:t>
      </w:r>
      <w:r w:rsidR="005F0032" w:rsidRPr="005F0032">
        <w:rPr>
          <w:rFonts w:ascii="Arial" w:hAnsi="Arial" w:cs="Arial"/>
          <w:sz w:val="22"/>
          <w:szCs w:val="22"/>
        </w:rPr>
        <w:t xml:space="preserve"> de abril de 2016, se celebró la siguiente Asamblea</w:t>
      </w:r>
      <w:r w:rsidRPr="005F0032">
        <w:rPr>
          <w:rFonts w:ascii="Arial" w:hAnsi="Arial" w:cs="Arial"/>
          <w:sz w:val="22"/>
          <w:szCs w:val="22"/>
        </w:rPr>
        <w:t xml:space="preserve"> de Accionista:</w:t>
      </w:r>
    </w:p>
    <w:p w:rsidR="005F1682" w:rsidRDefault="005F1682" w:rsidP="005F1682">
      <w:pPr>
        <w:ind w:right="-40"/>
        <w:jc w:val="both"/>
        <w:rPr>
          <w:rFonts w:ascii="Arial" w:hAnsi="Arial" w:cs="Arial"/>
          <w:sz w:val="22"/>
          <w:szCs w:val="22"/>
        </w:rPr>
      </w:pPr>
    </w:p>
    <w:tbl>
      <w:tblPr>
        <w:tblW w:w="5240" w:type="dxa"/>
        <w:jc w:val="center"/>
        <w:tblCellMar>
          <w:left w:w="70" w:type="dxa"/>
          <w:right w:w="70" w:type="dxa"/>
        </w:tblCellMar>
        <w:tblLook w:val="04A0" w:firstRow="1" w:lastRow="0" w:firstColumn="1" w:lastColumn="0" w:noHBand="0" w:noVBand="1"/>
      </w:tblPr>
      <w:tblGrid>
        <w:gridCol w:w="1840"/>
        <w:gridCol w:w="280"/>
        <w:gridCol w:w="1320"/>
        <w:gridCol w:w="280"/>
        <w:gridCol w:w="1520"/>
      </w:tblGrid>
      <w:tr w:rsidR="005F1682" w:rsidRPr="005F0032" w:rsidTr="00DF564E">
        <w:trPr>
          <w:trHeight w:val="285"/>
          <w:jc w:val="center"/>
        </w:trPr>
        <w:tc>
          <w:tcPr>
            <w:tcW w:w="1840" w:type="dxa"/>
            <w:tcBorders>
              <w:top w:val="nil"/>
              <w:left w:val="nil"/>
              <w:bottom w:val="single" w:sz="4" w:space="0" w:color="auto"/>
              <w:right w:val="nil"/>
            </w:tcBorders>
            <w:shd w:val="clear" w:color="auto" w:fill="auto"/>
            <w:vAlign w:val="center"/>
            <w:hideMark/>
          </w:tcPr>
          <w:p w:rsidR="005F1682" w:rsidRPr="005F0032" w:rsidRDefault="005F1682" w:rsidP="00DF564E">
            <w:pPr>
              <w:rPr>
                <w:rFonts w:ascii="Arial" w:hAnsi="Arial" w:cs="Arial"/>
                <w:color w:val="000000"/>
                <w:lang w:eastAsia="es-VE"/>
              </w:rPr>
            </w:pPr>
            <w:r w:rsidRPr="005F0032">
              <w:rPr>
                <w:rFonts w:ascii="Arial" w:hAnsi="Arial" w:cs="Arial"/>
                <w:color w:val="000000"/>
                <w:lang w:eastAsia="es-VE"/>
              </w:rPr>
              <w:t>Tipo</w:t>
            </w:r>
          </w:p>
        </w:tc>
        <w:tc>
          <w:tcPr>
            <w:tcW w:w="280" w:type="dxa"/>
            <w:tcBorders>
              <w:top w:val="nil"/>
              <w:left w:val="nil"/>
              <w:bottom w:val="nil"/>
              <w:right w:val="nil"/>
            </w:tcBorders>
            <w:shd w:val="clear" w:color="auto" w:fill="auto"/>
            <w:hideMark/>
          </w:tcPr>
          <w:p w:rsidR="005F1682" w:rsidRPr="005F0032" w:rsidRDefault="005F1682" w:rsidP="00DF564E">
            <w:pPr>
              <w:rPr>
                <w:color w:val="000000"/>
                <w:lang w:eastAsia="es-VE"/>
              </w:rPr>
            </w:pPr>
          </w:p>
        </w:tc>
        <w:tc>
          <w:tcPr>
            <w:tcW w:w="1320" w:type="dxa"/>
            <w:tcBorders>
              <w:top w:val="nil"/>
              <w:left w:val="nil"/>
              <w:bottom w:val="single" w:sz="4" w:space="0" w:color="auto"/>
              <w:right w:val="nil"/>
            </w:tcBorders>
            <w:shd w:val="clear" w:color="auto" w:fill="auto"/>
            <w:vAlign w:val="center"/>
            <w:hideMark/>
          </w:tcPr>
          <w:p w:rsidR="005F1682" w:rsidRPr="005F0032" w:rsidRDefault="005F1682" w:rsidP="00DF564E">
            <w:pPr>
              <w:jc w:val="center"/>
              <w:rPr>
                <w:rFonts w:ascii="Arial" w:hAnsi="Arial" w:cs="Arial"/>
                <w:color w:val="000000"/>
                <w:lang w:eastAsia="es-VE"/>
              </w:rPr>
            </w:pPr>
            <w:r w:rsidRPr="005F0032">
              <w:rPr>
                <w:rFonts w:ascii="Arial" w:hAnsi="Arial" w:cs="Arial"/>
                <w:color w:val="000000"/>
                <w:lang w:eastAsia="es-VE"/>
              </w:rPr>
              <w:t>No.</w:t>
            </w:r>
          </w:p>
        </w:tc>
        <w:tc>
          <w:tcPr>
            <w:tcW w:w="280" w:type="dxa"/>
            <w:tcBorders>
              <w:top w:val="nil"/>
              <w:left w:val="nil"/>
              <w:bottom w:val="nil"/>
              <w:right w:val="nil"/>
            </w:tcBorders>
            <w:shd w:val="clear" w:color="auto" w:fill="auto"/>
            <w:hideMark/>
          </w:tcPr>
          <w:p w:rsidR="005F1682" w:rsidRPr="005F0032" w:rsidRDefault="005F1682" w:rsidP="00DF564E">
            <w:pPr>
              <w:rPr>
                <w:color w:val="000000"/>
                <w:lang w:eastAsia="es-VE"/>
              </w:rPr>
            </w:pPr>
          </w:p>
        </w:tc>
        <w:tc>
          <w:tcPr>
            <w:tcW w:w="1520" w:type="dxa"/>
            <w:tcBorders>
              <w:top w:val="nil"/>
              <w:left w:val="nil"/>
              <w:bottom w:val="single" w:sz="4" w:space="0" w:color="auto"/>
              <w:right w:val="nil"/>
            </w:tcBorders>
            <w:shd w:val="clear" w:color="auto" w:fill="auto"/>
            <w:vAlign w:val="center"/>
            <w:hideMark/>
          </w:tcPr>
          <w:p w:rsidR="005F1682" w:rsidRPr="005F0032" w:rsidRDefault="005F1682" w:rsidP="00DF564E">
            <w:pPr>
              <w:jc w:val="center"/>
              <w:rPr>
                <w:rFonts w:ascii="Arial" w:hAnsi="Arial" w:cs="Arial"/>
                <w:color w:val="000000"/>
                <w:lang w:eastAsia="es-VE"/>
              </w:rPr>
            </w:pPr>
            <w:r w:rsidRPr="005F0032">
              <w:rPr>
                <w:rFonts w:ascii="Arial" w:hAnsi="Arial" w:cs="Arial"/>
                <w:color w:val="000000"/>
                <w:lang w:eastAsia="es-VE"/>
              </w:rPr>
              <w:t>Fecha</w:t>
            </w:r>
          </w:p>
        </w:tc>
      </w:tr>
      <w:tr w:rsidR="005F1682" w:rsidRPr="005F0032" w:rsidTr="00DF564E">
        <w:trPr>
          <w:trHeight w:val="255"/>
          <w:jc w:val="center"/>
        </w:trPr>
        <w:tc>
          <w:tcPr>
            <w:tcW w:w="1840" w:type="dxa"/>
            <w:tcBorders>
              <w:top w:val="nil"/>
              <w:left w:val="nil"/>
              <w:bottom w:val="nil"/>
              <w:right w:val="nil"/>
            </w:tcBorders>
            <w:shd w:val="clear" w:color="auto" w:fill="auto"/>
            <w:hideMark/>
          </w:tcPr>
          <w:p w:rsidR="005F1682" w:rsidRPr="005F0032" w:rsidRDefault="005F1682" w:rsidP="00DF564E">
            <w:pPr>
              <w:rPr>
                <w:color w:val="000000"/>
                <w:lang w:eastAsia="es-VE"/>
              </w:rPr>
            </w:pPr>
          </w:p>
        </w:tc>
        <w:tc>
          <w:tcPr>
            <w:tcW w:w="280" w:type="dxa"/>
            <w:tcBorders>
              <w:top w:val="nil"/>
              <w:left w:val="nil"/>
              <w:bottom w:val="nil"/>
              <w:right w:val="nil"/>
            </w:tcBorders>
            <w:shd w:val="clear" w:color="auto" w:fill="auto"/>
            <w:hideMark/>
          </w:tcPr>
          <w:p w:rsidR="005F1682" w:rsidRPr="005F0032" w:rsidRDefault="005F1682" w:rsidP="00DF564E">
            <w:pPr>
              <w:rPr>
                <w:color w:val="000000"/>
                <w:lang w:eastAsia="es-VE"/>
              </w:rPr>
            </w:pPr>
          </w:p>
        </w:tc>
        <w:tc>
          <w:tcPr>
            <w:tcW w:w="1320" w:type="dxa"/>
            <w:tcBorders>
              <w:top w:val="nil"/>
              <w:left w:val="nil"/>
              <w:bottom w:val="nil"/>
              <w:right w:val="nil"/>
            </w:tcBorders>
            <w:shd w:val="clear" w:color="auto" w:fill="auto"/>
            <w:vAlign w:val="bottom"/>
            <w:hideMark/>
          </w:tcPr>
          <w:p w:rsidR="005F1682" w:rsidRPr="005F0032" w:rsidRDefault="005F1682" w:rsidP="00DF564E">
            <w:pPr>
              <w:rPr>
                <w:color w:val="000000"/>
                <w:lang w:eastAsia="es-VE"/>
              </w:rPr>
            </w:pPr>
          </w:p>
        </w:tc>
        <w:tc>
          <w:tcPr>
            <w:tcW w:w="280" w:type="dxa"/>
            <w:tcBorders>
              <w:top w:val="nil"/>
              <w:left w:val="nil"/>
              <w:bottom w:val="nil"/>
              <w:right w:val="nil"/>
            </w:tcBorders>
            <w:shd w:val="clear" w:color="auto" w:fill="auto"/>
            <w:vAlign w:val="bottom"/>
            <w:hideMark/>
          </w:tcPr>
          <w:p w:rsidR="005F1682" w:rsidRPr="005F0032" w:rsidRDefault="005F1682" w:rsidP="00DF564E">
            <w:pPr>
              <w:rPr>
                <w:color w:val="000000"/>
                <w:lang w:eastAsia="es-VE"/>
              </w:rPr>
            </w:pPr>
          </w:p>
        </w:tc>
        <w:tc>
          <w:tcPr>
            <w:tcW w:w="1520" w:type="dxa"/>
            <w:tcBorders>
              <w:top w:val="nil"/>
              <w:left w:val="nil"/>
              <w:bottom w:val="nil"/>
              <w:right w:val="nil"/>
            </w:tcBorders>
            <w:shd w:val="clear" w:color="auto" w:fill="auto"/>
            <w:vAlign w:val="bottom"/>
            <w:hideMark/>
          </w:tcPr>
          <w:p w:rsidR="005F1682" w:rsidRPr="005F0032" w:rsidRDefault="005F1682" w:rsidP="00DF564E">
            <w:pPr>
              <w:rPr>
                <w:color w:val="000000"/>
                <w:lang w:eastAsia="es-VE"/>
              </w:rPr>
            </w:pPr>
          </w:p>
        </w:tc>
      </w:tr>
      <w:tr w:rsidR="005F1682" w:rsidRPr="005F0032" w:rsidTr="00DF564E">
        <w:trPr>
          <w:trHeight w:val="285"/>
          <w:jc w:val="center"/>
        </w:trPr>
        <w:tc>
          <w:tcPr>
            <w:tcW w:w="1840" w:type="dxa"/>
            <w:tcBorders>
              <w:top w:val="nil"/>
              <w:left w:val="nil"/>
              <w:bottom w:val="nil"/>
              <w:right w:val="nil"/>
            </w:tcBorders>
            <w:shd w:val="clear" w:color="auto" w:fill="auto"/>
            <w:vAlign w:val="center"/>
            <w:hideMark/>
          </w:tcPr>
          <w:p w:rsidR="005F1682" w:rsidRPr="005F0032" w:rsidRDefault="005F0032" w:rsidP="00DF564E">
            <w:pPr>
              <w:rPr>
                <w:rFonts w:ascii="Arial" w:hAnsi="Arial" w:cs="Arial"/>
                <w:color w:val="000000"/>
                <w:lang w:eastAsia="es-VE"/>
              </w:rPr>
            </w:pPr>
            <w:r>
              <w:rPr>
                <w:rFonts w:ascii="Arial" w:hAnsi="Arial" w:cs="Arial"/>
                <w:color w:val="000000"/>
                <w:lang w:eastAsia="es-VE"/>
              </w:rPr>
              <w:t>Ordinaria</w:t>
            </w:r>
          </w:p>
        </w:tc>
        <w:tc>
          <w:tcPr>
            <w:tcW w:w="280" w:type="dxa"/>
            <w:tcBorders>
              <w:top w:val="nil"/>
              <w:left w:val="nil"/>
              <w:bottom w:val="nil"/>
              <w:right w:val="nil"/>
            </w:tcBorders>
            <w:shd w:val="clear" w:color="auto" w:fill="auto"/>
            <w:hideMark/>
          </w:tcPr>
          <w:p w:rsidR="005F1682" w:rsidRPr="005F0032" w:rsidRDefault="005F1682" w:rsidP="00DF564E">
            <w:pPr>
              <w:rPr>
                <w:color w:val="000000"/>
                <w:lang w:eastAsia="es-VE"/>
              </w:rPr>
            </w:pPr>
          </w:p>
        </w:tc>
        <w:tc>
          <w:tcPr>
            <w:tcW w:w="1320" w:type="dxa"/>
            <w:tcBorders>
              <w:top w:val="nil"/>
              <w:left w:val="nil"/>
              <w:bottom w:val="nil"/>
              <w:right w:val="nil"/>
            </w:tcBorders>
            <w:shd w:val="clear" w:color="auto" w:fill="auto"/>
            <w:vAlign w:val="center"/>
            <w:hideMark/>
          </w:tcPr>
          <w:p w:rsidR="005F1682" w:rsidRPr="005F0032" w:rsidRDefault="005F0032" w:rsidP="00DF564E">
            <w:pPr>
              <w:jc w:val="center"/>
              <w:rPr>
                <w:rFonts w:ascii="Arial" w:hAnsi="Arial" w:cs="Arial"/>
                <w:color w:val="000000"/>
                <w:lang w:eastAsia="es-VE"/>
              </w:rPr>
            </w:pPr>
            <w:r>
              <w:rPr>
                <w:rFonts w:ascii="Arial" w:hAnsi="Arial" w:cs="Arial"/>
                <w:color w:val="000000"/>
                <w:lang w:eastAsia="es-VE"/>
              </w:rPr>
              <w:t>S/N</w:t>
            </w:r>
          </w:p>
        </w:tc>
        <w:tc>
          <w:tcPr>
            <w:tcW w:w="280" w:type="dxa"/>
            <w:tcBorders>
              <w:top w:val="nil"/>
              <w:left w:val="nil"/>
              <w:bottom w:val="nil"/>
              <w:right w:val="nil"/>
            </w:tcBorders>
            <w:shd w:val="clear" w:color="auto" w:fill="auto"/>
            <w:vAlign w:val="bottom"/>
            <w:hideMark/>
          </w:tcPr>
          <w:p w:rsidR="005F1682" w:rsidRPr="005F0032" w:rsidRDefault="005F1682" w:rsidP="00DF564E">
            <w:pPr>
              <w:rPr>
                <w:color w:val="000000"/>
                <w:lang w:eastAsia="es-VE"/>
              </w:rPr>
            </w:pPr>
          </w:p>
        </w:tc>
        <w:tc>
          <w:tcPr>
            <w:tcW w:w="1520" w:type="dxa"/>
            <w:tcBorders>
              <w:top w:val="nil"/>
              <w:left w:val="nil"/>
              <w:bottom w:val="nil"/>
              <w:right w:val="nil"/>
            </w:tcBorders>
            <w:shd w:val="clear" w:color="auto" w:fill="auto"/>
            <w:vAlign w:val="center"/>
            <w:hideMark/>
          </w:tcPr>
          <w:p w:rsidR="005F1682" w:rsidRPr="005F0032" w:rsidRDefault="005F0032" w:rsidP="00DF564E">
            <w:pPr>
              <w:jc w:val="center"/>
              <w:rPr>
                <w:rFonts w:ascii="Arial" w:hAnsi="Arial" w:cs="Arial"/>
                <w:color w:val="000000"/>
                <w:lang w:eastAsia="es-VE"/>
              </w:rPr>
            </w:pPr>
            <w:r>
              <w:rPr>
                <w:rFonts w:ascii="Arial" w:hAnsi="Arial" w:cs="Arial"/>
                <w:color w:val="000000"/>
                <w:lang w:eastAsia="es-VE"/>
              </w:rPr>
              <w:t>31/07/2015</w:t>
            </w:r>
          </w:p>
        </w:tc>
      </w:tr>
      <w:tr w:rsidR="005F1682" w:rsidRPr="000A4AB8" w:rsidTr="00DF564E">
        <w:trPr>
          <w:trHeight w:val="285"/>
          <w:jc w:val="center"/>
        </w:trPr>
        <w:tc>
          <w:tcPr>
            <w:tcW w:w="1840" w:type="dxa"/>
            <w:tcBorders>
              <w:top w:val="nil"/>
              <w:left w:val="nil"/>
              <w:bottom w:val="nil"/>
              <w:right w:val="nil"/>
            </w:tcBorders>
            <w:shd w:val="clear" w:color="auto" w:fill="auto"/>
            <w:vAlign w:val="center"/>
            <w:hideMark/>
          </w:tcPr>
          <w:p w:rsidR="005F1682" w:rsidRPr="005F0032" w:rsidRDefault="005F1682" w:rsidP="00DF564E">
            <w:pPr>
              <w:rPr>
                <w:rFonts w:ascii="Arial" w:hAnsi="Arial" w:cs="Arial"/>
                <w:color w:val="000000"/>
                <w:lang w:eastAsia="es-VE"/>
              </w:rPr>
            </w:pPr>
          </w:p>
        </w:tc>
        <w:tc>
          <w:tcPr>
            <w:tcW w:w="280" w:type="dxa"/>
            <w:tcBorders>
              <w:top w:val="nil"/>
              <w:left w:val="nil"/>
              <w:bottom w:val="nil"/>
              <w:right w:val="nil"/>
            </w:tcBorders>
            <w:shd w:val="clear" w:color="auto" w:fill="auto"/>
            <w:hideMark/>
          </w:tcPr>
          <w:p w:rsidR="005F1682" w:rsidRPr="005F0032" w:rsidRDefault="005F1682" w:rsidP="00DF564E">
            <w:pPr>
              <w:rPr>
                <w:color w:val="000000"/>
                <w:lang w:eastAsia="es-VE"/>
              </w:rPr>
            </w:pPr>
          </w:p>
        </w:tc>
        <w:tc>
          <w:tcPr>
            <w:tcW w:w="1320" w:type="dxa"/>
            <w:tcBorders>
              <w:top w:val="nil"/>
              <w:left w:val="nil"/>
              <w:bottom w:val="nil"/>
              <w:right w:val="nil"/>
            </w:tcBorders>
            <w:shd w:val="clear" w:color="auto" w:fill="auto"/>
            <w:vAlign w:val="center"/>
            <w:hideMark/>
          </w:tcPr>
          <w:p w:rsidR="005F1682" w:rsidRPr="000A4AB8" w:rsidRDefault="005F1682" w:rsidP="00DF564E">
            <w:pPr>
              <w:jc w:val="center"/>
              <w:rPr>
                <w:rFonts w:ascii="Arial" w:hAnsi="Arial" w:cs="Arial"/>
                <w:color w:val="000000"/>
                <w:lang w:eastAsia="es-VE"/>
              </w:rPr>
            </w:pPr>
          </w:p>
        </w:tc>
        <w:tc>
          <w:tcPr>
            <w:tcW w:w="280" w:type="dxa"/>
            <w:tcBorders>
              <w:top w:val="nil"/>
              <w:left w:val="nil"/>
              <w:bottom w:val="nil"/>
              <w:right w:val="nil"/>
            </w:tcBorders>
            <w:shd w:val="clear" w:color="auto" w:fill="auto"/>
            <w:vAlign w:val="bottom"/>
            <w:hideMark/>
          </w:tcPr>
          <w:p w:rsidR="005F1682" w:rsidRPr="000A4AB8" w:rsidRDefault="005F1682" w:rsidP="00DF564E">
            <w:pPr>
              <w:rPr>
                <w:color w:val="000000"/>
                <w:lang w:eastAsia="es-VE"/>
              </w:rPr>
            </w:pPr>
          </w:p>
        </w:tc>
        <w:tc>
          <w:tcPr>
            <w:tcW w:w="1520" w:type="dxa"/>
            <w:tcBorders>
              <w:top w:val="nil"/>
              <w:left w:val="nil"/>
              <w:bottom w:val="nil"/>
              <w:right w:val="nil"/>
            </w:tcBorders>
            <w:shd w:val="clear" w:color="auto" w:fill="auto"/>
            <w:vAlign w:val="center"/>
            <w:hideMark/>
          </w:tcPr>
          <w:p w:rsidR="005F1682" w:rsidRPr="000A4AB8" w:rsidRDefault="005F1682" w:rsidP="00DF564E">
            <w:pPr>
              <w:jc w:val="center"/>
              <w:rPr>
                <w:rFonts w:ascii="Arial" w:hAnsi="Arial" w:cs="Arial"/>
                <w:color w:val="000000"/>
                <w:lang w:eastAsia="es-VE"/>
              </w:rPr>
            </w:pPr>
          </w:p>
        </w:tc>
      </w:tr>
    </w:tbl>
    <w:p w:rsidR="005F1682" w:rsidRPr="00647CF6" w:rsidRDefault="005F1682" w:rsidP="005F1682">
      <w:pPr>
        <w:ind w:right="-40"/>
        <w:jc w:val="both"/>
        <w:rPr>
          <w:rFonts w:ascii="Arial" w:hAnsi="Arial" w:cs="Arial"/>
          <w:sz w:val="22"/>
          <w:szCs w:val="22"/>
        </w:rPr>
      </w:pPr>
    </w:p>
    <w:p w:rsidR="005F0032" w:rsidRDefault="005F0032" w:rsidP="005F0032">
      <w:pPr>
        <w:jc w:val="both"/>
        <w:rPr>
          <w:rFonts w:ascii="Arial" w:hAnsi="Arial" w:cs="Arial"/>
          <w:sz w:val="22"/>
          <w:szCs w:val="22"/>
        </w:rPr>
      </w:pPr>
      <w:r w:rsidRPr="00647CF6">
        <w:rPr>
          <w:rFonts w:ascii="Arial" w:hAnsi="Arial" w:cs="Arial"/>
          <w:sz w:val="22"/>
          <w:szCs w:val="22"/>
        </w:rPr>
        <w:t xml:space="preserve">En cuanto al Acta de </w:t>
      </w:r>
      <w:r>
        <w:rPr>
          <w:rFonts w:ascii="Arial" w:hAnsi="Arial" w:cs="Arial"/>
          <w:sz w:val="22"/>
          <w:szCs w:val="22"/>
        </w:rPr>
        <w:t xml:space="preserve">la </w:t>
      </w:r>
      <w:r w:rsidRPr="00647CF6">
        <w:rPr>
          <w:rFonts w:ascii="Arial" w:hAnsi="Arial" w:cs="Arial"/>
          <w:sz w:val="22"/>
          <w:szCs w:val="22"/>
        </w:rPr>
        <w:t xml:space="preserve">Asamblea de </w:t>
      </w:r>
      <w:r>
        <w:rPr>
          <w:rFonts w:ascii="Arial" w:hAnsi="Arial" w:cs="Arial"/>
          <w:sz w:val="22"/>
          <w:szCs w:val="22"/>
        </w:rPr>
        <w:t>Accionistas observamos</w:t>
      </w:r>
      <w:r w:rsidRPr="00647CF6">
        <w:rPr>
          <w:rFonts w:ascii="Arial" w:hAnsi="Arial" w:cs="Arial"/>
          <w:sz w:val="22"/>
          <w:szCs w:val="22"/>
        </w:rPr>
        <w:t xml:space="preserve"> lo siguiente:</w:t>
      </w:r>
    </w:p>
    <w:p w:rsidR="005F0032" w:rsidRDefault="005F0032" w:rsidP="005F0032">
      <w:pPr>
        <w:jc w:val="both"/>
        <w:rPr>
          <w:rFonts w:ascii="Arial" w:hAnsi="Arial" w:cs="Arial"/>
          <w:sz w:val="22"/>
          <w:szCs w:val="22"/>
        </w:rPr>
      </w:pPr>
    </w:p>
    <w:p w:rsidR="005F0032" w:rsidRDefault="005F0032" w:rsidP="005F0032">
      <w:pPr>
        <w:ind w:right="-40"/>
        <w:jc w:val="both"/>
        <w:rPr>
          <w:rFonts w:ascii="Arial" w:hAnsi="Arial" w:cs="Arial"/>
          <w:sz w:val="22"/>
          <w:szCs w:val="22"/>
          <w:lang w:eastAsia="en-US"/>
        </w:rPr>
      </w:pPr>
      <w:r>
        <w:rPr>
          <w:rFonts w:ascii="Arial" w:hAnsi="Arial" w:cs="Arial"/>
          <w:sz w:val="22"/>
          <w:szCs w:val="22"/>
        </w:rPr>
        <w:t>Asamblea Ordinaria de Accionistas del 31</w:t>
      </w:r>
      <w:r w:rsidRPr="00B251E6">
        <w:rPr>
          <w:rFonts w:ascii="Arial" w:hAnsi="Arial" w:cs="Arial"/>
          <w:sz w:val="22"/>
          <w:szCs w:val="22"/>
        </w:rPr>
        <w:t xml:space="preserve"> de </w:t>
      </w:r>
      <w:r>
        <w:rPr>
          <w:rFonts w:ascii="Arial" w:hAnsi="Arial" w:cs="Arial"/>
          <w:sz w:val="22"/>
          <w:szCs w:val="22"/>
        </w:rPr>
        <w:t>julio</w:t>
      </w:r>
      <w:r w:rsidRPr="00B251E6">
        <w:rPr>
          <w:rFonts w:ascii="Arial" w:hAnsi="Arial" w:cs="Arial"/>
          <w:sz w:val="22"/>
          <w:szCs w:val="22"/>
        </w:rPr>
        <w:t xml:space="preserve"> de 201</w:t>
      </w:r>
      <w:r>
        <w:rPr>
          <w:rFonts w:ascii="Arial" w:hAnsi="Arial" w:cs="Arial"/>
          <w:sz w:val="22"/>
          <w:szCs w:val="22"/>
        </w:rPr>
        <w:t>5</w:t>
      </w:r>
      <w:r w:rsidRPr="00B251E6">
        <w:rPr>
          <w:rFonts w:ascii="Arial" w:hAnsi="Arial" w:cs="Arial"/>
          <w:sz w:val="22"/>
          <w:szCs w:val="22"/>
        </w:rPr>
        <w:t xml:space="preserve">. El orden del día fue: Punto Primero: </w:t>
      </w:r>
      <w:r>
        <w:rPr>
          <w:rFonts w:ascii="Arial" w:hAnsi="Arial" w:cs="Arial"/>
          <w:sz w:val="22"/>
          <w:szCs w:val="22"/>
        </w:rPr>
        <w:t>Aprobar o improbar los estados financieros de la Compañía, correspondiente al ejercicio finalizado el 30 de abril de 2015, con vista al resp</w:t>
      </w:r>
      <w:r w:rsidR="007B122C">
        <w:rPr>
          <w:rFonts w:ascii="Arial" w:hAnsi="Arial" w:cs="Arial"/>
          <w:sz w:val="22"/>
          <w:szCs w:val="22"/>
        </w:rPr>
        <w:t>ectivo Informe presentado por los</w:t>
      </w:r>
      <w:r>
        <w:rPr>
          <w:rFonts w:ascii="Arial" w:hAnsi="Arial" w:cs="Arial"/>
          <w:sz w:val="22"/>
          <w:szCs w:val="22"/>
        </w:rPr>
        <w:t xml:space="preserve"> Comisario</w:t>
      </w:r>
      <w:r w:rsidR="007B122C">
        <w:rPr>
          <w:rFonts w:ascii="Arial" w:hAnsi="Arial" w:cs="Arial"/>
          <w:sz w:val="22"/>
          <w:szCs w:val="22"/>
        </w:rPr>
        <w:t>s</w:t>
      </w:r>
      <w:r w:rsidRPr="00B251E6">
        <w:rPr>
          <w:rFonts w:ascii="Arial" w:hAnsi="Arial" w:cs="Arial"/>
          <w:sz w:val="22"/>
          <w:szCs w:val="22"/>
        </w:rPr>
        <w:t xml:space="preserve">; Punto Segundo: </w:t>
      </w:r>
      <w:r>
        <w:rPr>
          <w:rFonts w:ascii="Arial" w:hAnsi="Arial" w:cs="Arial"/>
          <w:sz w:val="22"/>
          <w:szCs w:val="22"/>
        </w:rPr>
        <w:t xml:space="preserve">Considerar y resolver sobre el </w:t>
      </w:r>
      <w:r w:rsidR="007B122C">
        <w:rPr>
          <w:rFonts w:ascii="Arial" w:hAnsi="Arial" w:cs="Arial"/>
          <w:sz w:val="22"/>
          <w:szCs w:val="22"/>
        </w:rPr>
        <w:t>proyecto presentado por la Junta Directiva para el pago de un dividendo en efectivo y las condiciones de pago</w:t>
      </w:r>
      <w:r>
        <w:rPr>
          <w:rFonts w:ascii="Arial" w:hAnsi="Arial" w:cs="Arial"/>
          <w:sz w:val="22"/>
          <w:szCs w:val="22"/>
        </w:rPr>
        <w:t xml:space="preserve">; Punto Tercero: </w:t>
      </w:r>
      <w:r w:rsidR="007B122C">
        <w:rPr>
          <w:rFonts w:ascii="Arial" w:hAnsi="Arial" w:cs="Arial"/>
          <w:sz w:val="22"/>
          <w:szCs w:val="22"/>
        </w:rPr>
        <w:t>Elección de la Junta Directiva para el período de julio de 2015 a julio de 2017</w:t>
      </w:r>
      <w:r>
        <w:rPr>
          <w:rFonts w:ascii="Arial" w:hAnsi="Arial" w:cs="Arial"/>
          <w:sz w:val="22"/>
          <w:szCs w:val="22"/>
        </w:rPr>
        <w:t>; y Punto Cuarto: Considerar y resolver sobre</w:t>
      </w:r>
      <w:r w:rsidR="007B122C">
        <w:rPr>
          <w:rFonts w:ascii="Arial" w:hAnsi="Arial" w:cs="Arial"/>
          <w:sz w:val="22"/>
          <w:szCs w:val="22"/>
        </w:rPr>
        <w:t xml:space="preserve"> el nombramiento de los Comisarios, tanto los Principales, como los Suplentes</w:t>
      </w:r>
      <w:r>
        <w:rPr>
          <w:rFonts w:ascii="Arial" w:hAnsi="Arial" w:cs="Arial"/>
          <w:sz w:val="22"/>
          <w:szCs w:val="22"/>
        </w:rPr>
        <w:t>.</w:t>
      </w:r>
      <w:r>
        <w:rPr>
          <w:rFonts w:ascii="Arial" w:hAnsi="Arial" w:cs="Arial"/>
          <w:color w:val="232323"/>
          <w:w w:val="105"/>
          <w:sz w:val="22"/>
          <w:szCs w:val="22"/>
        </w:rPr>
        <w:t xml:space="preserve"> </w:t>
      </w:r>
      <w:r w:rsidRPr="00EF0642">
        <w:rPr>
          <w:rFonts w:ascii="Arial" w:hAnsi="Arial" w:cs="Arial"/>
          <w:sz w:val="22"/>
          <w:szCs w:val="22"/>
        </w:rPr>
        <w:t>Todos los puntos fueron aprob</w:t>
      </w:r>
      <w:r w:rsidR="009A4982">
        <w:rPr>
          <w:rFonts w:ascii="Arial" w:hAnsi="Arial" w:cs="Arial"/>
          <w:sz w:val="22"/>
          <w:szCs w:val="22"/>
        </w:rPr>
        <w:t>ados en forma unánime.</w:t>
      </w:r>
      <w:bookmarkStart w:id="0" w:name="_GoBack"/>
      <w:bookmarkEnd w:id="0"/>
    </w:p>
    <w:p w:rsidR="005F1682" w:rsidRDefault="005F1682" w:rsidP="001055EA">
      <w:pPr>
        <w:jc w:val="both"/>
        <w:rPr>
          <w:rFonts w:ascii="Arial" w:hAnsi="Arial" w:cs="Arial"/>
          <w:sz w:val="22"/>
          <w:szCs w:val="22"/>
        </w:rPr>
      </w:pPr>
    </w:p>
    <w:p w:rsidR="00C03447" w:rsidRDefault="00C03447" w:rsidP="001055EA">
      <w:pPr>
        <w:jc w:val="both"/>
        <w:rPr>
          <w:rFonts w:ascii="Arial" w:hAnsi="Arial" w:cs="Arial"/>
          <w:sz w:val="22"/>
          <w:szCs w:val="22"/>
          <w:lang w:val="es-MX"/>
        </w:rPr>
      </w:pPr>
    </w:p>
    <w:p w:rsidR="009D6838" w:rsidRPr="001055EA" w:rsidRDefault="009D6838" w:rsidP="001055EA">
      <w:pPr>
        <w:jc w:val="both"/>
        <w:rPr>
          <w:rFonts w:ascii="Arial" w:hAnsi="Arial" w:cs="Arial"/>
          <w:sz w:val="22"/>
          <w:szCs w:val="22"/>
        </w:rPr>
      </w:pPr>
      <w:r w:rsidRPr="002E21F9">
        <w:rPr>
          <w:rFonts w:ascii="Arial" w:hAnsi="Arial" w:cs="Arial"/>
          <w:sz w:val="22"/>
          <w:szCs w:val="22"/>
          <w:lang w:val="es-MX"/>
        </w:rPr>
        <w:t>En nu</w:t>
      </w:r>
      <w:r w:rsidR="006933B3" w:rsidRPr="002E21F9">
        <w:rPr>
          <w:rFonts w:ascii="Arial" w:hAnsi="Arial" w:cs="Arial"/>
          <w:sz w:val="22"/>
          <w:szCs w:val="22"/>
          <w:lang w:val="es-MX"/>
        </w:rPr>
        <w:t>estra opinión, con base en</w:t>
      </w:r>
      <w:r w:rsidRPr="002E21F9">
        <w:rPr>
          <w:rFonts w:ascii="Arial" w:hAnsi="Arial" w:cs="Arial"/>
          <w:sz w:val="22"/>
          <w:szCs w:val="22"/>
          <w:lang w:val="es-MX"/>
        </w:rPr>
        <w:t xml:space="preserve"> nuestra revisión y al trabajo efectuado por los auditores externos, </w:t>
      </w:r>
      <w:r w:rsidR="00CE42C3" w:rsidRPr="002E21F9">
        <w:rPr>
          <w:rFonts w:ascii="Arial" w:hAnsi="Arial" w:cs="Arial"/>
          <w:sz w:val="22"/>
          <w:szCs w:val="22"/>
          <w:lang w:val="es-MX"/>
        </w:rPr>
        <w:t>Rodríguez</w:t>
      </w:r>
      <w:r w:rsidR="005F56C7" w:rsidRPr="002E21F9">
        <w:rPr>
          <w:rFonts w:ascii="Arial" w:hAnsi="Arial" w:cs="Arial"/>
          <w:sz w:val="22"/>
          <w:szCs w:val="22"/>
          <w:lang w:val="es-MX"/>
        </w:rPr>
        <w:t>,</w:t>
      </w:r>
      <w:r w:rsidR="00CE42C3" w:rsidRPr="002E21F9">
        <w:rPr>
          <w:rFonts w:ascii="Arial" w:hAnsi="Arial" w:cs="Arial"/>
          <w:sz w:val="22"/>
          <w:szCs w:val="22"/>
          <w:lang w:val="es-MX"/>
        </w:rPr>
        <w:t xml:space="preserve"> </w:t>
      </w:r>
      <w:r w:rsidRPr="002E21F9">
        <w:rPr>
          <w:rFonts w:ascii="Arial" w:hAnsi="Arial" w:cs="Arial"/>
          <w:sz w:val="22"/>
          <w:szCs w:val="22"/>
          <w:lang w:val="es-MX"/>
        </w:rPr>
        <w:t>V</w:t>
      </w:r>
      <w:r w:rsidR="00D4243D" w:rsidRPr="002E21F9">
        <w:rPr>
          <w:rFonts w:ascii="Arial" w:hAnsi="Arial" w:cs="Arial"/>
          <w:sz w:val="22"/>
          <w:szCs w:val="22"/>
          <w:lang w:val="es-MX"/>
        </w:rPr>
        <w:t>el</w:t>
      </w:r>
      <w:r w:rsidRPr="002E21F9">
        <w:rPr>
          <w:rFonts w:ascii="Arial" w:hAnsi="Arial" w:cs="Arial"/>
          <w:sz w:val="22"/>
          <w:szCs w:val="22"/>
          <w:lang w:val="es-MX"/>
        </w:rPr>
        <w:t>ázquez</w:t>
      </w:r>
      <w:r w:rsidR="00CE42C3" w:rsidRPr="002E21F9">
        <w:rPr>
          <w:rFonts w:ascii="Arial" w:hAnsi="Arial" w:cs="Arial"/>
          <w:sz w:val="22"/>
          <w:szCs w:val="22"/>
          <w:lang w:val="es-MX"/>
        </w:rPr>
        <w:t xml:space="preserve"> &amp; Asociados</w:t>
      </w:r>
      <w:r w:rsidRPr="002E21F9">
        <w:rPr>
          <w:rFonts w:ascii="Arial" w:hAnsi="Arial" w:cs="Arial"/>
          <w:sz w:val="22"/>
          <w:szCs w:val="22"/>
          <w:lang w:val="es-MX"/>
        </w:rPr>
        <w:t xml:space="preserve">, los estados financieros y sus notas, expresados en </w:t>
      </w:r>
      <w:r w:rsidR="00DE5846" w:rsidRPr="002E21F9">
        <w:rPr>
          <w:rFonts w:ascii="Arial" w:hAnsi="Arial" w:cs="Arial"/>
          <w:sz w:val="22"/>
          <w:szCs w:val="22"/>
          <w:lang w:val="es-MX"/>
        </w:rPr>
        <w:t xml:space="preserve">miles </w:t>
      </w:r>
      <w:r w:rsidRPr="002E21F9">
        <w:rPr>
          <w:rFonts w:ascii="Arial" w:hAnsi="Arial" w:cs="Arial"/>
          <w:sz w:val="22"/>
          <w:szCs w:val="22"/>
          <w:lang w:val="es-MX"/>
        </w:rPr>
        <w:t>bolívares constantes, reflejan razonablemente la situación financiera</w:t>
      </w:r>
      <w:r w:rsidR="006933B3" w:rsidRPr="002E21F9">
        <w:rPr>
          <w:rFonts w:ascii="Arial" w:hAnsi="Arial" w:cs="Arial"/>
          <w:sz w:val="22"/>
          <w:szCs w:val="22"/>
          <w:lang w:val="es-MX"/>
        </w:rPr>
        <w:t xml:space="preserve"> consolidada</w:t>
      </w:r>
      <w:r w:rsidRPr="002E21F9">
        <w:rPr>
          <w:rFonts w:ascii="Arial" w:hAnsi="Arial" w:cs="Arial"/>
          <w:sz w:val="22"/>
          <w:szCs w:val="22"/>
          <w:lang w:val="es-MX"/>
        </w:rPr>
        <w:t xml:space="preserve"> de Corimon, C.A., y sus </w:t>
      </w:r>
      <w:r w:rsidR="00BD5849" w:rsidRPr="002E21F9">
        <w:rPr>
          <w:rFonts w:ascii="Arial" w:hAnsi="Arial" w:cs="Arial"/>
          <w:sz w:val="22"/>
          <w:szCs w:val="22"/>
          <w:lang w:val="es-MX"/>
        </w:rPr>
        <w:t>Su</w:t>
      </w:r>
      <w:r w:rsidR="007D55BC" w:rsidRPr="002E21F9">
        <w:rPr>
          <w:rFonts w:ascii="Arial" w:hAnsi="Arial" w:cs="Arial"/>
          <w:sz w:val="22"/>
          <w:szCs w:val="22"/>
          <w:lang w:val="es-MX"/>
        </w:rPr>
        <w:t>bsidiarias</w:t>
      </w:r>
      <w:r w:rsidRPr="002E21F9">
        <w:rPr>
          <w:rFonts w:ascii="Arial" w:hAnsi="Arial" w:cs="Arial"/>
          <w:sz w:val="22"/>
          <w:szCs w:val="22"/>
          <w:lang w:val="es-MX"/>
        </w:rPr>
        <w:t xml:space="preserve"> al 30 abril de </w:t>
      </w:r>
      <w:r w:rsidR="00FF7456" w:rsidRPr="002E21F9">
        <w:rPr>
          <w:rFonts w:ascii="Arial" w:hAnsi="Arial" w:cs="Arial"/>
          <w:sz w:val="22"/>
          <w:szCs w:val="22"/>
          <w:lang w:val="es-MX"/>
        </w:rPr>
        <w:t>2</w:t>
      </w:r>
      <w:r w:rsidR="00D44A16" w:rsidRPr="002E21F9">
        <w:rPr>
          <w:rFonts w:ascii="Arial" w:hAnsi="Arial" w:cs="Arial"/>
          <w:sz w:val="22"/>
          <w:szCs w:val="22"/>
          <w:lang w:val="es-MX"/>
        </w:rPr>
        <w:t>016</w:t>
      </w:r>
      <w:r w:rsidR="00CE42C3" w:rsidRPr="002E21F9">
        <w:rPr>
          <w:rFonts w:ascii="Arial" w:hAnsi="Arial" w:cs="Arial"/>
          <w:sz w:val="22"/>
          <w:szCs w:val="22"/>
          <w:lang w:val="es-MX"/>
        </w:rPr>
        <w:t xml:space="preserve"> y </w:t>
      </w:r>
      <w:r w:rsidR="006933B3" w:rsidRPr="002E21F9">
        <w:rPr>
          <w:rFonts w:ascii="Arial" w:hAnsi="Arial" w:cs="Arial"/>
          <w:sz w:val="22"/>
          <w:szCs w:val="22"/>
          <w:lang w:val="es-MX"/>
        </w:rPr>
        <w:t xml:space="preserve"> </w:t>
      </w:r>
      <w:r w:rsidR="00386C4B" w:rsidRPr="002E21F9">
        <w:rPr>
          <w:rFonts w:ascii="Arial" w:hAnsi="Arial" w:cs="Arial"/>
          <w:sz w:val="22"/>
          <w:szCs w:val="22"/>
          <w:lang w:val="es-MX"/>
        </w:rPr>
        <w:t>los estados</w:t>
      </w:r>
      <w:r w:rsidRPr="002E21F9">
        <w:rPr>
          <w:rFonts w:ascii="Arial" w:hAnsi="Arial" w:cs="Arial"/>
          <w:sz w:val="22"/>
          <w:szCs w:val="22"/>
          <w:lang w:val="es-MX"/>
        </w:rPr>
        <w:t xml:space="preserve"> consolidados de </w:t>
      </w:r>
      <w:r w:rsidR="00386C4B" w:rsidRPr="002E21F9">
        <w:rPr>
          <w:rFonts w:ascii="Arial" w:hAnsi="Arial" w:cs="Arial"/>
          <w:sz w:val="22"/>
          <w:szCs w:val="22"/>
          <w:lang w:val="es-MX"/>
        </w:rPr>
        <w:t>resultado</w:t>
      </w:r>
      <w:r w:rsidR="008E7E09" w:rsidRPr="002E21F9">
        <w:rPr>
          <w:rFonts w:ascii="Arial" w:hAnsi="Arial" w:cs="Arial"/>
          <w:sz w:val="22"/>
          <w:szCs w:val="22"/>
          <w:lang w:val="es-MX"/>
        </w:rPr>
        <w:t>s del período y</w:t>
      </w:r>
      <w:r w:rsidR="00886265" w:rsidRPr="002E21F9">
        <w:rPr>
          <w:rFonts w:ascii="Arial" w:hAnsi="Arial" w:cs="Arial"/>
          <w:sz w:val="22"/>
          <w:szCs w:val="22"/>
          <w:lang w:val="es-MX"/>
        </w:rPr>
        <w:t xml:space="preserve"> otros resultados</w:t>
      </w:r>
      <w:r w:rsidR="00386C4B" w:rsidRPr="002E21F9">
        <w:rPr>
          <w:rFonts w:ascii="Arial" w:hAnsi="Arial" w:cs="Arial"/>
          <w:sz w:val="22"/>
          <w:szCs w:val="22"/>
          <w:lang w:val="es-MX"/>
        </w:rPr>
        <w:t xml:space="preserve"> integral</w:t>
      </w:r>
      <w:r w:rsidR="00886265" w:rsidRPr="002E21F9">
        <w:rPr>
          <w:rFonts w:ascii="Arial" w:hAnsi="Arial" w:cs="Arial"/>
          <w:sz w:val="22"/>
          <w:szCs w:val="22"/>
          <w:lang w:val="es-MX"/>
        </w:rPr>
        <w:t>es</w:t>
      </w:r>
      <w:r w:rsidR="00CE42C3" w:rsidRPr="002E21F9">
        <w:rPr>
          <w:rFonts w:ascii="Arial" w:hAnsi="Arial" w:cs="Arial"/>
          <w:sz w:val="22"/>
          <w:szCs w:val="22"/>
          <w:lang w:val="es-MX"/>
        </w:rPr>
        <w:t xml:space="preserve">, </w:t>
      </w:r>
      <w:r w:rsidR="00386C4B" w:rsidRPr="002E21F9">
        <w:rPr>
          <w:rFonts w:ascii="Arial" w:hAnsi="Arial" w:cs="Arial"/>
          <w:sz w:val="22"/>
          <w:szCs w:val="22"/>
          <w:lang w:val="es-MX"/>
        </w:rPr>
        <w:t xml:space="preserve">de cambios en el </w:t>
      </w:r>
      <w:r w:rsidR="00AC6F26" w:rsidRPr="002E21F9">
        <w:rPr>
          <w:rFonts w:ascii="Arial" w:hAnsi="Arial" w:cs="Arial"/>
          <w:sz w:val="22"/>
          <w:szCs w:val="22"/>
          <w:lang w:val="es-MX"/>
        </w:rPr>
        <w:t>patrimonio</w:t>
      </w:r>
      <w:r w:rsidRPr="002E21F9">
        <w:rPr>
          <w:rFonts w:ascii="Arial" w:hAnsi="Arial" w:cs="Arial"/>
          <w:sz w:val="22"/>
          <w:szCs w:val="22"/>
          <w:lang w:val="es-MX"/>
        </w:rPr>
        <w:t xml:space="preserve"> y </w:t>
      </w:r>
      <w:r w:rsidR="00784D9A" w:rsidRPr="002E21F9">
        <w:rPr>
          <w:rFonts w:ascii="Arial" w:hAnsi="Arial" w:cs="Arial"/>
          <w:sz w:val="22"/>
          <w:szCs w:val="22"/>
          <w:lang w:val="es-MX"/>
        </w:rPr>
        <w:t>de</w:t>
      </w:r>
      <w:r w:rsidR="006933B3" w:rsidRPr="002E21F9">
        <w:rPr>
          <w:rFonts w:ascii="Arial" w:hAnsi="Arial" w:cs="Arial"/>
          <w:sz w:val="22"/>
          <w:szCs w:val="22"/>
          <w:lang w:val="es-MX"/>
        </w:rPr>
        <w:t xml:space="preserve"> flujo</w:t>
      </w:r>
      <w:r w:rsidR="00CE42C3" w:rsidRPr="002E21F9">
        <w:rPr>
          <w:rFonts w:ascii="Arial" w:hAnsi="Arial" w:cs="Arial"/>
          <w:sz w:val="22"/>
          <w:szCs w:val="22"/>
          <w:lang w:val="es-MX"/>
        </w:rPr>
        <w:t xml:space="preserve">s </w:t>
      </w:r>
      <w:r w:rsidRPr="002E21F9">
        <w:rPr>
          <w:rFonts w:ascii="Arial" w:hAnsi="Arial" w:cs="Arial"/>
          <w:sz w:val="22"/>
          <w:szCs w:val="22"/>
          <w:lang w:val="es-MX"/>
        </w:rPr>
        <w:t>de</w:t>
      </w:r>
      <w:r w:rsidR="00784D9A" w:rsidRPr="002E21F9">
        <w:rPr>
          <w:rFonts w:ascii="Arial" w:hAnsi="Arial" w:cs="Arial"/>
          <w:sz w:val="22"/>
          <w:szCs w:val="22"/>
          <w:lang w:val="es-MX"/>
        </w:rPr>
        <w:t>l</w:t>
      </w:r>
      <w:r w:rsidR="00CE42C3" w:rsidRPr="002E21F9">
        <w:rPr>
          <w:rFonts w:ascii="Arial" w:hAnsi="Arial" w:cs="Arial"/>
          <w:sz w:val="22"/>
          <w:szCs w:val="22"/>
          <w:lang w:val="es-MX"/>
        </w:rPr>
        <w:t xml:space="preserve"> </w:t>
      </w:r>
      <w:r w:rsidRPr="002E21F9">
        <w:rPr>
          <w:rFonts w:ascii="Arial" w:hAnsi="Arial" w:cs="Arial"/>
          <w:sz w:val="22"/>
          <w:szCs w:val="22"/>
          <w:lang w:val="es-MX"/>
        </w:rPr>
        <w:t xml:space="preserve">efectivo por el año finalizado en esa fecha, </w:t>
      </w:r>
      <w:r w:rsidR="00CE42C3" w:rsidRPr="002E21F9">
        <w:rPr>
          <w:rFonts w:ascii="Arial" w:hAnsi="Arial" w:cs="Arial"/>
          <w:sz w:val="22"/>
          <w:szCs w:val="22"/>
          <w:lang w:val="es-MX"/>
        </w:rPr>
        <w:t xml:space="preserve">expresados en miles de bolívares constantes al </w:t>
      </w:r>
      <w:r w:rsidR="00655817" w:rsidRPr="002E21F9">
        <w:rPr>
          <w:rFonts w:ascii="Arial" w:hAnsi="Arial" w:cs="Arial"/>
          <w:sz w:val="22"/>
          <w:szCs w:val="22"/>
          <w:lang w:val="es-MX"/>
        </w:rPr>
        <w:t>30 de abril de 2016</w:t>
      </w:r>
      <w:r w:rsidR="00CE42C3" w:rsidRPr="002E21F9">
        <w:rPr>
          <w:rFonts w:ascii="Arial" w:hAnsi="Arial" w:cs="Arial"/>
          <w:sz w:val="22"/>
          <w:szCs w:val="22"/>
          <w:lang w:val="es-MX"/>
        </w:rPr>
        <w:t>,</w:t>
      </w:r>
      <w:r w:rsidR="00784D9A" w:rsidRPr="002E21F9">
        <w:rPr>
          <w:rFonts w:ascii="Arial" w:hAnsi="Arial" w:cs="Arial"/>
          <w:sz w:val="22"/>
          <w:szCs w:val="22"/>
          <w:lang w:val="es-MX"/>
        </w:rPr>
        <w:t xml:space="preserve"> </w:t>
      </w:r>
      <w:r w:rsidRPr="002E21F9">
        <w:rPr>
          <w:rFonts w:ascii="Arial" w:hAnsi="Arial" w:cs="Arial"/>
          <w:sz w:val="22"/>
          <w:szCs w:val="22"/>
          <w:lang w:val="es-MX"/>
        </w:rPr>
        <w:t xml:space="preserve">de conformidad con </w:t>
      </w:r>
      <w:r w:rsidR="006933B3" w:rsidRPr="002E21F9">
        <w:rPr>
          <w:rFonts w:ascii="Arial" w:hAnsi="Arial" w:cs="Arial"/>
          <w:sz w:val="22"/>
          <w:szCs w:val="22"/>
          <w:lang w:val="es-MX"/>
        </w:rPr>
        <w:t xml:space="preserve">las Normas </w:t>
      </w:r>
      <w:r w:rsidR="00784D9A" w:rsidRPr="002E21F9">
        <w:rPr>
          <w:rFonts w:ascii="Arial" w:hAnsi="Arial" w:cs="Arial"/>
          <w:sz w:val="22"/>
          <w:szCs w:val="22"/>
          <w:lang w:val="es-MX"/>
        </w:rPr>
        <w:t>Internacionales de Información Financiera</w:t>
      </w:r>
      <w:r w:rsidRPr="002E21F9">
        <w:rPr>
          <w:rFonts w:ascii="Arial" w:hAnsi="Arial" w:cs="Arial"/>
          <w:sz w:val="22"/>
          <w:szCs w:val="22"/>
          <w:lang w:val="es-MX"/>
        </w:rPr>
        <w:t>, por lo que nos permitimos someter a la consideración de la Asamblea</w:t>
      </w:r>
      <w:r w:rsidR="00CE42C3" w:rsidRPr="002E21F9">
        <w:rPr>
          <w:rFonts w:ascii="Arial" w:hAnsi="Arial" w:cs="Arial"/>
          <w:sz w:val="22"/>
          <w:szCs w:val="22"/>
          <w:lang w:val="es-MX"/>
        </w:rPr>
        <w:t xml:space="preserve"> General Ordinaria</w:t>
      </w:r>
      <w:r w:rsidRPr="002E21F9">
        <w:rPr>
          <w:rFonts w:ascii="Arial" w:hAnsi="Arial" w:cs="Arial"/>
          <w:sz w:val="22"/>
          <w:szCs w:val="22"/>
          <w:lang w:val="es-MX"/>
        </w:rPr>
        <w:t xml:space="preserve"> de Accionistas su aprobación</w:t>
      </w:r>
      <w:r w:rsidR="00284024" w:rsidRPr="002E21F9">
        <w:rPr>
          <w:rFonts w:ascii="Arial" w:hAnsi="Arial" w:cs="Arial"/>
          <w:sz w:val="22"/>
          <w:szCs w:val="22"/>
          <w:lang w:val="es-MX"/>
        </w:rPr>
        <w:t>.</w:t>
      </w:r>
    </w:p>
    <w:p w:rsidR="009D6838" w:rsidRPr="00B1152D" w:rsidRDefault="009D6838" w:rsidP="009D6838">
      <w:pPr>
        <w:spacing w:line="280" w:lineRule="exact"/>
        <w:rPr>
          <w:rFonts w:ascii="Arial" w:hAnsi="Arial" w:cs="Arial"/>
          <w:sz w:val="22"/>
          <w:szCs w:val="22"/>
          <w:lang w:val="es-MX"/>
        </w:rPr>
      </w:pPr>
    </w:p>
    <w:p w:rsidR="00A7427D" w:rsidRDefault="00A7427D" w:rsidP="009D6838">
      <w:pPr>
        <w:spacing w:line="280" w:lineRule="exact"/>
        <w:rPr>
          <w:rFonts w:ascii="Arial" w:hAnsi="Arial" w:cs="Arial"/>
          <w:sz w:val="22"/>
          <w:szCs w:val="22"/>
          <w:lang w:val="es-MX"/>
        </w:rPr>
      </w:pPr>
    </w:p>
    <w:p w:rsidR="00A7427D" w:rsidRPr="00B1152D" w:rsidRDefault="00A7427D" w:rsidP="009D6838">
      <w:pPr>
        <w:spacing w:line="280" w:lineRule="exact"/>
        <w:rPr>
          <w:rFonts w:ascii="Arial" w:hAnsi="Arial" w:cs="Arial"/>
          <w:sz w:val="22"/>
          <w:szCs w:val="22"/>
          <w:lang w:val="es-MX"/>
        </w:rPr>
      </w:pPr>
    </w:p>
    <w:p w:rsidR="00585F8A" w:rsidRPr="00B1152D" w:rsidRDefault="009D6838" w:rsidP="007B122C">
      <w:pPr>
        <w:spacing w:line="280" w:lineRule="exact"/>
        <w:jc w:val="center"/>
        <w:rPr>
          <w:rFonts w:ascii="Arial" w:hAnsi="Arial" w:cs="Arial"/>
          <w:sz w:val="22"/>
          <w:szCs w:val="22"/>
          <w:lang w:val="es-MX"/>
        </w:rPr>
      </w:pPr>
      <w:r w:rsidRPr="00B1152D">
        <w:rPr>
          <w:rFonts w:ascii="Arial" w:hAnsi="Arial" w:cs="Arial"/>
          <w:sz w:val="22"/>
          <w:szCs w:val="22"/>
          <w:lang w:val="es-MX"/>
        </w:rPr>
        <w:t>Muy atentamente,</w:t>
      </w:r>
    </w:p>
    <w:p w:rsidR="005750F1" w:rsidRPr="00B1152D" w:rsidRDefault="005750F1" w:rsidP="009D6838">
      <w:pPr>
        <w:spacing w:line="280" w:lineRule="exact"/>
        <w:rPr>
          <w:rFonts w:ascii="Arial" w:hAnsi="Arial" w:cs="Arial"/>
          <w:sz w:val="22"/>
          <w:szCs w:val="22"/>
          <w:lang w:val="es-MX"/>
        </w:rPr>
      </w:pPr>
    </w:p>
    <w:p w:rsidR="00585F8A" w:rsidRPr="00B1152D" w:rsidRDefault="00585F8A" w:rsidP="009D6838">
      <w:pPr>
        <w:spacing w:line="280" w:lineRule="exact"/>
        <w:rPr>
          <w:rFonts w:ascii="Arial" w:hAnsi="Arial" w:cs="Arial"/>
          <w:sz w:val="22"/>
          <w:szCs w:val="22"/>
          <w:lang w:val="es-MX"/>
        </w:rPr>
      </w:pPr>
    </w:p>
    <w:tbl>
      <w:tblPr>
        <w:tblW w:w="0" w:type="auto"/>
        <w:jc w:val="center"/>
        <w:tblLayout w:type="fixed"/>
        <w:tblCellMar>
          <w:left w:w="70" w:type="dxa"/>
          <w:right w:w="70" w:type="dxa"/>
        </w:tblCellMar>
        <w:tblLook w:val="0000" w:firstRow="0" w:lastRow="0" w:firstColumn="0" w:lastColumn="0" w:noHBand="0" w:noVBand="0"/>
      </w:tblPr>
      <w:tblGrid>
        <w:gridCol w:w="2835"/>
        <w:gridCol w:w="992"/>
        <w:gridCol w:w="2835"/>
      </w:tblGrid>
      <w:tr w:rsidR="009D6838" w:rsidRPr="00B1152D" w:rsidTr="00C32589">
        <w:trPr>
          <w:jc w:val="center"/>
        </w:trPr>
        <w:tc>
          <w:tcPr>
            <w:tcW w:w="2835" w:type="dxa"/>
            <w:tcBorders>
              <w:bottom w:val="single" w:sz="4" w:space="0" w:color="auto"/>
            </w:tcBorders>
          </w:tcPr>
          <w:p w:rsidR="009D6838" w:rsidRPr="00B1152D" w:rsidRDefault="009D6838" w:rsidP="008F7A8D">
            <w:pPr>
              <w:spacing w:line="280" w:lineRule="exact"/>
              <w:jc w:val="center"/>
              <w:rPr>
                <w:rFonts w:ascii="Arial" w:hAnsi="Arial" w:cs="Arial"/>
                <w:sz w:val="22"/>
                <w:szCs w:val="22"/>
                <w:lang w:val="es-MX"/>
              </w:rPr>
            </w:pPr>
          </w:p>
        </w:tc>
        <w:tc>
          <w:tcPr>
            <w:tcW w:w="992" w:type="dxa"/>
          </w:tcPr>
          <w:p w:rsidR="009D6838" w:rsidRPr="00B1152D" w:rsidRDefault="009D6838" w:rsidP="008F7A8D">
            <w:pPr>
              <w:spacing w:line="280" w:lineRule="exact"/>
              <w:rPr>
                <w:rFonts w:ascii="Arial" w:hAnsi="Arial" w:cs="Arial"/>
                <w:sz w:val="22"/>
                <w:szCs w:val="22"/>
                <w:lang w:val="es-MX"/>
              </w:rPr>
            </w:pPr>
          </w:p>
        </w:tc>
        <w:tc>
          <w:tcPr>
            <w:tcW w:w="2835" w:type="dxa"/>
            <w:tcBorders>
              <w:bottom w:val="single" w:sz="4" w:space="0" w:color="auto"/>
            </w:tcBorders>
          </w:tcPr>
          <w:p w:rsidR="009D6838" w:rsidRPr="00B1152D" w:rsidRDefault="009D6838" w:rsidP="008F7A8D">
            <w:pPr>
              <w:spacing w:line="280" w:lineRule="exact"/>
              <w:jc w:val="center"/>
              <w:rPr>
                <w:rFonts w:ascii="Arial" w:hAnsi="Arial" w:cs="Arial"/>
                <w:sz w:val="22"/>
                <w:szCs w:val="22"/>
                <w:lang w:val="es-MX"/>
              </w:rPr>
            </w:pPr>
          </w:p>
        </w:tc>
      </w:tr>
      <w:tr w:rsidR="009D6838" w:rsidRPr="00B1152D" w:rsidTr="00C32589">
        <w:trPr>
          <w:jc w:val="center"/>
        </w:trPr>
        <w:tc>
          <w:tcPr>
            <w:tcW w:w="2835" w:type="dxa"/>
          </w:tcPr>
          <w:p w:rsidR="009D6838" w:rsidRPr="00B1152D" w:rsidRDefault="009D6838" w:rsidP="008F7A8D">
            <w:pPr>
              <w:spacing w:line="280" w:lineRule="exact"/>
              <w:jc w:val="center"/>
              <w:rPr>
                <w:rFonts w:ascii="Arial" w:hAnsi="Arial" w:cs="Arial"/>
                <w:sz w:val="22"/>
                <w:szCs w:val="22"/>
                <w:lang w:val="es-MX"/>
              </w:rPr>
            </w:pPr>
            <w:r w:rsidRPr="00B1152D">
              <w:rPr>
                <w:rFonts w:ascii="Arial" w:hAnsi="Arial" w:cs="Arial"/>
                <w:sz w:val="22"/>
                <w:szCs w:val="22"/>
                <w:lang w:val="es-MX"/>
              </w:rPr>
              <w:t>Jorge Gómez C.</w:t>
            </w:r>
          </w:p>
        </w:tc>
        <w:tc>
          <w:tcPr>
            <w:tcW w:w="992" w:type="dxa"/>
          </w:tcPr>
          <w:p w:rsidR="009D6838" w:rsidRPr="00B1152D" w:rsidRDefault="009D6838" w:rsidP="008F7A8D">
            <w:pPr>
              <w:spacing w:line="280" w:lineRule="exact"/>
              <w:rPr>
                <w:rFonts w:ascii="Arial" w:hAnsi="Arial" w:cs="Arial"/>
                <w:sz w:val="22"/>
                <w:szCs w:val="22"/>
                <w:lang w:val="es-MX"/>
              </w:rPr>
            </w:pPr>
          </w:p>
        </w:tc>
        <w:tc>
          <w:tcPr>
            <w:tcW w:w="2835" w:type="dxa"/>
          </w:tcPr>
          <w:p w:rsidR="009D6838" w:rsidRPr="00B1152D" w:rsidRDefault="009D6838" w:rsidP="008F7A8D">
            <w:pPr>
              <w:spacing w:line="280" w:lineRule="exact"/>
              <w:jc w:val="center"/>
              <w:rPr>
                <w:rFonts w:ascii="Arial" w:hAnsi="Arial" w:cs="Arial"/>
                <w:sz w:val="22"/>
                <w:szCs w:val="22"/>
                <w:lang w:val="es-MX"/>
              </w:rPr>
            </w:pPr>
            <w:r w:rsidRPr="00B1152D">
              <w:rPr>
                <w:rFonts w:ascii="Arial" w:hAnsi="Arial" w:cs="Arial"/>
                <w:sz w:val="22"/>
                <w:szCs w:val="22"/>
                <w:lang w:val="es-MX"/>
              </w:rPr>
              <w:t xml:space="preserve">Henry </w:t>
            </w:r>
            <w:r w:rsidR="001E4D27" w:rsidRPr="00B1152D">
              <w:rPr>
                <w:rFonts w:ascii="Arial" w:hAnsi="Arial" w:cs="Arial"/>
                <w:sz w:val="22"/>
                <w:szCs w:val="22"/>
                <w:lang w:val="es-MX"/>
              </w:rPr>
              <w:t xml:space="preserve">A. </w:t>
            </w:r>
            <w:r w:rsidRPr="00B1152D">
              <w:rPr>
                <w:rFonts w:ascii="Arial" w:hAnsi="Arial" w:cs="Arial"/>
                <w:sz w:val="22"/>
                <w:szCs w:val="22"/>
                <w:lang w:val="es-MX"/>
              </w:rPr>
              <w:t>Peñaloza R.</w:t>
            </w:r>
          </w:p>
        </w:tc>
      </w:tr>
      <w:tr w:rsidR="009D6838" w:rsidRPr="00B1152D" w:rsidTr="00C32589">
        <w:trPr>
          <w:jc w:val="center"/>
        </w:trPr>
        <w:tc>
          <w:tcPr>
            <w:tcW w:w="2835" w:type="dxa"/>
          </w:tcPr>
          <w:p w:rsidR="009D6838" w:rsidRPr="00B1152D" w:rsidRDefault="009D6838" w:rsidP="008F7A8D">
            <w:pPr>
              <w:spacing w:line="280" w:lineRule="exact"/>
              <w:jc w:val="center"/>
              <w:rPr>
                <w:rFonts w:ascii="Arial" w:hAnsi="Arial" w:cs="Arial"/>
                <w:sz w:val="22"/>
                <w:szCs w:val="22"/>
                <w:lang w:val="es-MX"/>
              </w:rPr>
            </w:pPr>
            <w:r w:rsidRPr="00B1152D">
              <w:rPr>
                <w:rFonts w:ascii="Arial" w:hAnsi="Arial" w:cs="Arial"/>
                <w:sz w:val="22"/>
                <w:szCs w:val="22"/>
                <w:lang w:val="es-MX"/>
              </w:rPr>
              <w:t>Comisario</w:t>
            </w:r>
          </w:p>
        </w:tc>
        <w:tc>
          <w:tcPr>
            <w:tcW w:w="992" w:type="dxa"/>
          </w:tcPr>
          <w:p w:rsidR="009D6838" w:rsidRPr="00B1152D" w:rsidRDefault="009D6838" w:rsidP="008F7A8D">
            <w:pPr>
              <w:spacing w:line="280" w:lineRule="exact"/>
              <w:rPr>
                <w:rFonts w:ascii="Arial" w:hAnsi="Arial" w:cs="Arial"/>
                <w:sz w:val="22"/>
                <w:szCs w:val="22"/>
                <w:lang w:val="es-MX"/>
              </w:rPr>
            </w:pPr>
          </w:p>
        </w:tc>
        <w:tc>
          <w:tcPr>
            <w:tcW w:w="2835" w:type="dxa"/>
          </w:tcPr>
          <w:p w:rsidR="009D6838" w:rsidRPr="00B1152D" w:rsidRDefault="009D6838" w:rsidP="008F7A8D">
            <w:pPr>
              <w:spacing w:line="280" w:lineRule="exact"/>
              <w:jc w:val="center"/>
              <w:rPr>
                <w:rFonts w:ascii="Arial" w:hAnsi="Arial" w:cs="Arial"/>
                <w:sz w:val="22"/>
                <w:szCs w:val="22"/>
                <w:lang w:val="es-MX"/>
              </w:rPr>
            </w:pPr>
            <w:r w:rsidRPr="00B1152D">
              <w:rPr>
                <w:rFonts w:ascii="Arial" w:hAnsi="Arial" w:cs="Arial"/>
                <w:sz w:val="22"/>
                <w:szCs w:val="22"/>
                <w:lang w:val="es-MX"/>
              </w:rPr>
              <w:t>Comisario</w:t>
            </w:r>
          </w:p>
        </w:tc>
      </w:tr>
      <w:tr w:rsidR="009D6838" w:rsidRPr="00B1152D" w:rsidTr="00C32589">
        <w:trPr>
          <w:jc w:val="center"/>
        </w:trPr>
        <w:tc>
          <w:tcPr>
            <w:tcW w:w="2835" w:type="dxa"/>
          </w:tcPr>
          <w:p w:rsidR="009D6838" w:rsidRPr="00B1152D" w:rsidRDefault="009D6838" w:rsidP="008F7A8D">
            <w:pPr>
              <w:spacing w:line="280" w:lineRule="exact"/>
              <w:jc w:val="center"/>
              <w:rPr>
                <w:rFonts w:ascii="Arial" w:hAnsi="Arial" w:cs="Arial"/>
                <w:sz w:val="22"/>
                <w:szCs w:val="22"/>
                <w:lang w:val="es-MX"/>
              </w:rPr>
            </w:pPr>
            <w:r w:rsidRPr="00B1152D">
              <w:rPr>
                <w:rFonts w:ascii="Arial" w:hAnsi="Arial" w:cs="Arial"/>
                <w:sz w:val="22"/>
                <w:szCs w:val="22"/>
                <w:lang w:val="es-MX"/>
              </w:rPr>
              <w:t>CPC Nº 10</w:t>
            </w:r>
            <w:r w:rsidR="00F7694E" w:rsidRPr="00B1152D">
              <w:rPr>
                <w:rFonts w:ascii="Arial" w:hAnsi="Arial" w:cs="Arial"/>
                <w:sz w:val="22"/>
                <w:szCs w:val="22"/>
                <w:lang w:val="es-MX"/>
              </w:rPr>
              <w:t>.</w:t>
            </w:r>
            <w:r w:rsidRPr="00B1152D">
              <w:rPr>
                <w:rFonts w:ascii="Arial" w:hAnsi="Arial" w:cs="Arial"/>
                <w:sz w:val="22"/>
                <w:szCs w:val="22"/>
                <w:lang w:val="es-MX"/>
              </w:rPr>
              <w:t>951</w:t>
            </w:r>
          </w:p>
        </w:tc>
        <w:tc>
          <w:tcPr>
            <w:tcW w:w="992" w:type="dxa"/>
          </w:tcPr>
          <w:p w:rsidR="009D6838" w:rsidRPr="00B1152D" w:rsidRDefault="009D6838" w:rsidP="008F7A8D">
            <w:pPr>
              <w:spacing w:line="280" w:lineRule="exact"/>
              <w:rPr>
                <w:rFonts w:ascii="Arial" w:hAnsi="Arial" w:cs="Arial"/>
                <w:sz w:val="22"/>
                <w:szCs w:val="22"/>
                <w:lang w:val="es-MX"/>
              </w:rPr>
            </w:pPr>
          </w:p>
        </w:tc>
        <w:tc>
          <w:tcPr>
            <w:tcW w:w="2835" w:type="dxa"/>
          </w:tcPr>
          <w:p w:rsidR="009D6838" w:rsidRPr="00B1152D" w:rsidRDefault="009D6838" w:rsidP="008F7A8D">
            <w:pPr>
              <w:spacing w:line="280" w:lineRule="exact"/>
              <w:jc w:val="center"/>
              <w:rPr>
                <w:rFonts w:ascii="Arial" w:hAnsi="Arial" w:cs="Arial"/>
                <w:sz w:val="22"/>
                <w:szCs w:val="22"/>
                <w:lang w:val="es-MX"/>
              </w:rPr>
            </w:pPr>
            <w:r w:rsidRPr="00B1152D">
              <w:rPr>
                <w:rFonts w:ascii="Arial" w:hAnsi="Arial" w:cs="Arial"/>
                <w:sz w:val="22"/>
                <w:szCs w:val="22"/>
                <w:lang w:val="es-MX"/>
              </w:rPr>
              <w:t>CPC Nº 20</w:t>
            </w:r>
            <w:r w:rsidR="00F7694E" w:rsidRPr="00B1152D">
              <w:rPr>
                <w:rFonts w:ascii="Arial" w:hAnsi="Arial" w:cs="Arial"/>
                <w:sz w:val="22"/>
                <w:szCs w:val="22"/>
                <w:lang w:val="es-MX"/>
              </w:rPr>
              <w:t>.</w:t>
            </w:r>
            <w:r w:rsidRPr="00B1152D">
              <w:rPr>
                <w:rFonts w:ascii="Arial" w:hAnsi="Arial" w:cs="Arial"/>
                <w:sz w:val="22"/>
                <w:szCs w:val="22"/>
                <w:lang w:val="es-MX"/>
              </w:rPr>
              <w:t>339</w:t>
            </w:r>
          </w:p>
        </w:tc>
      </w:tr>
    </w:tbl>
    <w:p w:rsidR="00D710A0" w:rsidRPr="00B1152D" w:rsidRDefault="00D710A0" w:rsidP="007B122C">
      <w:pPr>
        <w:rPr>
          <w:rFonts w:ascii="Arial" w:hAnsi="Arial" w:cs="Arial"/>
          <w:sz w:val="22"/>
          <w:szCs w:val="22"/>
        </w:rPr>
      </w:pPr>
    </w:p>
    <w:sectPr w:rsidR="00D710A0" w:rsidRPr="00B1152D" w:rsidSect="001577C7">
      <w:footerReference w:type="default" r:id="rId9"/>
      <w:pgSz w:w="12242" w:h="15842" w:code="1"/>
      <w:pgMar w:top="1701" w:right="1418" w:bottom="1701" w:left="1418" w:header="1140" w:footer="11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5A" w:rsidRDefault="00D53F5A">
      <w:r>
        <w:separator/>
      </w:r>
    </w:p>
  </w:endnote>
  <w:endnote w:type="continuationSeparator" w:id="0">
    <w:p w:rsidR="00D53F5A" w:rsidRDefault="00D5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32" w:rsidRDefault="005F00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0032" w:rsidRDefault="005F003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32" w:rsidRDefault="005F0032">
    <w:pPr>
      <w:pStyle w:val="Piedepgina"/>
      <w:jc w:val="center"/>
    </w:pPr>
    <w:r>
      <w:fldChar w:fldCharType="begin"/>
    </w:r>
    <w:r>
      <w:instrText>PAGE   \* MERGEFORMAT</w:instrText>
    </w:r>
    <w:r>
      <w:fldChar w:fldCharType="separate"/>
    </w:r>
    <w:r w:rsidR="002322F8" w:rsidRPr="002322F8">
      <w:rPr>
        <w:noProof/>
        <w:lang w:val="es-ES"/>
      </w:rPr>
      <w:t>3</w:t>
    </w:r>
    <w:r>
      <w:fldChar w:fldCharType="end"/>
    </w:r>
  </w:p>
  <w:p w:rsidR="005F0032" w:rsidRDefault="005F00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5A" w:rsidRDefault="00D53F5A">
      <w:r>
        <w:separator/>
      </w:r>
    </w:p>
  </w:footnote>
  <w:footnote w:type="continuationSeparator" w:id="0">
    <w:p w:rsidR="00D53F5A" w:rsidRDefault="00D53F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0AC"/>
    <w:multiLevelType w:val="singleLevel"/>
    <w:tmpl w:val="0409000F"/>
    <w:lvl w:ilvl="0">
      <w:start w:val="7"/>
      <w:numFmt w:val="decimal"/>
      <w:lvlText w:val="%1."/>
      <w:lvlJc w:val="left"/>
      <w:pPr>
        <w:tabs>
          <w:tab w:val="num" w:pos="360"/>
        </w:tabs>
        <w:ind w:left="360" w:hanging="360"/>
      </w:pPr>
      <w:rPr>
        <w:rFonts w:hint="default"/>
        <w:u w:val="none"/>
      </w:rPr>
    </w:lvl>
  </w:abstractNum>
  <w:abstractNum w:abstractNumId="1" w15:restartNumberingAfterBreak="0">
    <w:nsid w:val="06186DA8"/>
    <w:multiLevelType w:val="singleLevel"/>
    <w:tmpl w:val="4F8AF57E"/>
    <w:lvl w:ilvl="0">
      <w:start w:val="1"/>
      <w:numFmt w:val="lowerLetter"/>
      <w:lvlText w:val="%1."/>
      <w:lvlJc w:val="left"/>
      <w:pPr>
        <w:tabs>
          <w:tab w:val="num" w:pos="1440"/>
        </w:tabs>
        <w:ind w:left="1440" w:hanging="735"/>
      </w:pPr>
      <w:rPr>
        <w:rFonts w:hint="default"/>
      </w:rPr>
    </w:lvl>
  </w:abstractNum>
  <w:abstractNum w:abstractNumId="2" w15:restartNumberingAfterBreak="0">
    <w:nsid w:val="0994166C"/>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263F03AA"/>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34770913"/>
    <w:multiLevelType w:val="singleLevel"/>
    <w:tmpl w:val="B79A2C18"/>
    <w:lvl w:ilvl="0">
      <w:start w:val="2"/>
      <w:numFmt w:val="decimal"/>
      <w:lvlText w:val="%1."/>
      <w:lvlJc w:val="left"/>
      <w:pPr>
        <w:tabs>
          <w:tab w:val="num" w:pos="705"/>
        </w:tabs>
        <w:ind w:left="705" w:hanging="705"/>
      </w:pPr>
      <w:rPr>
        <w:rFonts w:hint="default"/>
      </w:rPr>
    </w:lvl>
  </w:abstractNum>
  <w:abstractNum w:abstractNumId="5" w15:restartNumberingAfterBreak="0">
    <w:nsid w:val="38265717"/>
    <w:multiLevelType w:val="singleLevel"/>
    <w:tmpl w:val="936AE478"/>
    <w:lvl w:ilvl="0">
      <w:start w:val="1"/>
      <w:numFmt w:val="decimal"/>
      <w:lvlText w:val="%1."/>
      <w:lvlJc w:val="left"/>
      <w:pPr>
        <w:tabs>
          <w:tab w:val="num" w:pos="1065"/>
        </w:tabs>
        <w:ind w:left="1065" w:hanging="360"/>
      </w:pPr>
      <w:rPr>
        <w:rFonts w:hint="default"/>
      </w:rPr>
    </w:lvl>
  </w:abstractNum>
  <w:abstractNum w:abstractNumId="6" w15:restartNumberingAfterBreak="0">
    <w:nsid w:val="38E856A7"/>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463B1563"/>
    <w:multiLevelType w:val="singleLevel"/>
    <w:tmpl w:val="37CAC440"/>
    <w:lvl w:ilvl="0">
      <w:start w:val="1"/>
      <w:numFmt w:val="bullet"/>
      <w:lvlText w:val="-"/>
      <w:lvlJc w:val="left"/>
      <w:pPr>
        <w:tabs>
          <w:tab w:val="num" w:pos="1845"/>
        </w:tabs>
        <w:ind w:left="1845" w:hanging="360"/>
      </w:pPr>
      <w:rPr>
        <w:rFonts w:hint="default"/>
      </w:rPr>
    </w:lvl>
  </w:abstractNum>
  <w:abstractNum w:abstractNumId="8" w15:restartNumberingAfterBreak="0">
    <w:nsid w:val="52F6797C"/>
    <w:multiLevelType w:val="singleLevel"/>
    <w:tmpl w:val="0C0A000F"/>
    <w:lvl w:ilvl="0">
      <w:start w:val="8"/>
      <w:numFmt w:val="decimal"/>
      <w:lvlText w:val="%1."/>
      <w:lvlJc w:val="left"/>
      <w:pPr>
        <w:tabs>
          <w:tab w:val="num" w:pos="360"/>
        </w:tabs>
        <w:ind w:left="360" w:hanging="360"/>
      </w:pPr>
      <w:rPr>
        <w:rFonts w:hint="default"/>
        <w:u w:val="none"/>
      </w:rPr>
    </w:lvl>
  </w:abstractNum>
  <w:abstractNum w:abstractNumId="9" w15:restartNumberingAfterBreak="0">
    <w:nsid w:val="550A156F"/>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567222DB"/>
    <w:multiLevelType w:val="singleLevel"/>
    <w:tmpl w:val="A8A6709C"/>
    <w:lvl w:ilvl="0">
      <w:start w:val="1"/>
      <w:numFmt w:val="decimal"/>
      <w:lvlText w:val="%1."/>
      <w:lvlJc w:val="left"/>
      <w:pPr>
        <w:tabs>
          <w:tab w:val="num" w:pos="375"/>
        </w:tabs>
        <w:ind w:left="375" w:hanging="375"/>
      </w:pPr>
      <w:rPr>
        <w:rFonts w:hint="default"/>
      </w:rPr>
    </w:lvl>
  </w:abstractNum>
  <w:abstractNum w:abstractNumId="11" w15:restartNumberingAfterBreak="0">
    <w:nsid w:val="5721592B"/>
    <w:multiLevelType w:val="singleLevel"/>
    <w:tmpl w:val="04090011"/>
    <w:lvl w:ilvl="0">
      <w:start w:val="2"/>
      <w:numFmt w:val="decimal"/>
      <w:lvlText w:val="%1)"/>
      <w:lvlJc w:val="left"/>
      <w:pPr>
        <w:tabs>
          <w:tab w:val="num" w:pos="360"/>
        </w:tabs>
        <w:ind w:left="360" w:hanging="360"/>
      </w:pPr>
      <w:rPr>
        <w:rFonts w:hint="default"/>
      </w:rPr>
    </w:lvl>
  </w:abstractNum>
  <w:abstractNum w:abstractNumId="12" w15:restartNumberingAfterBreak="0">
    <w:nsid w:val="5FCA1497"/>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66546B52"/>
    <w:multiLevelType w:val="hybridMultilevel"/>
    <w:tmpl w:val="229E5262"/>
    <w:lvl w:ilvl="0" w:tplc="51E88CE4">
      <w:start w:val="1"/>
      <w:numFmt w:val="decimal"/>
      <w:lvlText w:val="%1."/>
      <w:lvlJc w:val="left"/>
      <w:pPr>
        <w:tabs>
          <w:tab w:val="num" w:pos="1089"/>
        </w:tabs>
        <w:ind w:left="1089" w:hanging="545"/>
      </w:pPr>
    </w:lvl>
    <w:lvl w:ilvl="1" w:tplc="AE241E08">
      <w:start w:val="1"/>
      <w:numFmt w:val="lowerLetter"/>
      <w:lvlText w:val="%2)"/>
      <w:lvlJc w:val="left"/>
      <w:pPr>
        <w:tabs>
          <w:tab w:val="num" w:pos="1089"/>
        </w:tabs>
        <w:ind w:left="1089" w:hanging="545"/>
      </w:pPr>
    </w:lvl>
    <w:lvl w:ilvl="2" w:tplc="04090001">
      <w:start w:val="1"/>
      <w:numFmt w:val="bullet"/>
      <w:lvlText w:val=""/>
      <w:lvlJc w:val="left"/>
      <w:pPr>
        <w:tabs>
          <w:tab w:val="num" w:pos="2884"/>
        </w:tabs>
        <w:ind w:left="2884"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F136B3C"/>
    <w:multiLevelType w:val="singleLevel"/>
    <w:tmpl w:val="46522710"/>
    <w:lvl w:ilvl="0">
      <w:start w:val="23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0511915"/>
    <w:multiLevelType w:val="singleLevel"/>
    <w:tmpl w:val="05DAC726"/>
    <w:lvl w:ilvl="0">
      <w:start w:val="5"/>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6" w15:restartNumberingAfterBreak="0">
    <w:nsid w:val="7636558B"/>
    <w:multiLevelType w:val="hybridMultilevel"/>
    <w:tmpl w:val="FE3E318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649207F"/>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78D85054"/>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78F77918"/>
    <w:multiLevelType w:val="singleLevel"/>
    <w:tmpl w:val="04090011"/>
    <w:lvl w:ilvl="0">
      <w:start w:val="1"/>
      <w:numFmt w:val="decimal"/>
      <w:lvlText w:val="%1)"/>
      <w:lvlJc w:val="left"/>
      <w:pPr>
        <w:tabs>
          <w:tab w:val="num" w:pos="360"/>
        </w:tabs>
        <w:ind w:left="360" w:hanging="360"/>
      </w:pPr>
      <w:rPr>
        <w:rFonts w:hint="default"/>
      </w:rPr>
    </w:lvl>
  </w:abstractNum>
  <w:abstractNum w:abstractNumId="20" w15:restartNumberingAfterBreak="0">
    <w:nsid w:val="79660E44"/>
    <w:multiLevelType w:val="singleLevel"/>
    <w:tmpl w:val="04090011"/>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7"/>
  </w:num>
  <w:num w:numId="4">
    <w:abstractNumId w:val="5"/>
  </w:num>
  <w:num w:numId="5">
    <w:abstractNumId w:val="10"/>
  </w:num>
  <w:num w:numId="6">
    <w:abstractNumId w:val="19"/>
  </w:num>
  <w:num w:numId="7">
    <w:abstractNumId w:val="11"/>
  </w:num>
  <w:num w:numId="8">
    <w:abstractNumId w:val="2"/>
  </w:num>
  <w:num w:numId="9">
    <w:abstractNumId w:val="9"/>
  </w:num>
  <w:num w:numId="10">
    <w:abstractNumId w:val="20"/>
  </w:num>
  <w:num w:numId="11">
    <w:abstractNumId w:val="18"/>
  </w:num>
  <w:num w:numId="12">
    <w:abstractNumId w:val="12"/>
  </w:num>
  <w:num w:numId="13">
    <w:abstractNumId w:val="3"/>
  </w:num>
  <w:num w:numId="14">
    <w:abstractNumId w:val="6"/>
  </w:num>
  <w:num w:numId="15">
    <w:abstractNumId w:val="15"/>
  </w:num>
  <w:num w:numId="16">
    <w:abstractNumId w:val="0"/>
  </w:num>
  <w:num w:numId="17">
    <w:abstractNumId w:val="8"/>
  </w:num>
  <w:num w:numId="18">
    <w:abstractNumId w:val="14"/>
  </w:num>
  <w:num w:numId="19">
    <w:abstractNumId w:val="17"/>
  </w:num>
  <w:num w:numId="20">
    <w:abstractNumId w:val="16"/>
  </w:num>
  <w:num w:numId="21">
    <w:abstractNumId w:val="14"/>
  </w:num>
  <w:num w:numId="2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7C"/>
    <w:rsid w:val="000109FE"/>
    <w:rsid w:val="00021D2A"/>
    <w:rsid w:val="00063875"/>
    <w:rsid w:val="00064F9A"/>
    <w:rsid w:val="00073010"/>
    <w:rsid w:val="00074248"/>
    <w:rsid w:val="000D03F1"/>
    <w:rsid w:val="000D5679"/>
    <w:rsid w:val="000E51F2"/>
    <w:rsid w:val="000E5FA9"/>
    <w:rsid w:val="001055EA"/>
    <w:rsid w:val="00114B6E"/>
    <w:rsid w:val="001306AA"/>
    <w:rsid w:val="001329DD"/>
    <w:rsid w:val="001354F4"/>
    <w:rsid w:val="001577C7"/>
    <w:rsid w:val="001661F4"/>
    <w:rsid w:val="00166992"/>
    <w:rsid w:val="0017196E"/>
    <w:rsid w:val="0017447B"/>
    <w:rsid w:val="00174701"/>
    <w:rsid w:val="001A1974"/>
    <w:rsid w:val="001A7030"/>
    <w:rsid w:val="001B770D"/>
    <w:rsid w:val="001E366D"/>
    <w:rsid w:val="001E4D27"/>
    <w:rsid w:val="001F10F1"/>
    <w:rsid w:val="001F3FAA"/>
    <w:rsid w:val="002322F8"/>
    <w:rsid w:val="0024373A"/>
    <w:rsid w:val="00251993"/>
    <w:rsid w:val="00272219"/>
    <w:rsid w:val="00277308"/>
    <w:rsid w:val="002821AF"/>
    <w:rsid w:val="00282A3B"/>
    <w:rsid w:val="00283AD5"/>
    <w:rsid w:val="00284024"/>
    <w:rsid w:val="002A0870"/>
    <w:rsid w:val="002A4265"/>
    <w:rsid w:val="002D2010"/>
    <w:rsid w:val="002E21F9"/>
    <w:rsid w:val="002F3957"/>
    <w:rsid w:val="002F70B9"/>
    <w:rsid w:val="0030513A"/>
    <w:rsid w:val="00306A80"/>
    <w:rsid w:val="0031087F"/>
    <w:rsid w:val="003140B1"/>
    <w:rsid w:val="00322F09"/>
    <w:rsid w:val="0032315C"/>
    <w:rsid w:val="00323DF5"/>
    <w:rsid w:val="00325022"/>
    <w:rsid w:val="003511F7"/>
    <w:rsid w:val="00357C9F"/>
    <w:rsid w:val="00376B24"/>
    <w:rsid w:val="00382DDA"/>
    <w:rsid w:val="0038632A"/>
    <w:rsid w:val="00386C4B"/>
    <w:rsid w:val="00387F43"/>
    <w:rsid w:val="003A494B"/>
    <w:rsid w:val="003B22B9"/>
    <w:rsid w:val="003C059A"/>
    <w:rsid w:val="003C2BE6"/>
    <w:rsid w:val="003D722E"/>
    <w:rsid w:val="003D7BEC"/>
    <w:rsid w:val="003F3411"/>
    <w:rsid w:val="00401753"/>
    <w:rsid w:val="00412975"/>
    <w:rsid w:val="00423778"/>
    <w:rsid w:val="0043222A"/>
    <w:rsid w:val="00441F8A"/>
    <w:rsid w:val="00453A81"/>
    <w:rsid w:val="00460397"/>
    <w:rsid w:val="004622A0"/>
    <w:rsid w:val="00482300"/>
    <w:rsid w:val="004825F8"/>
    <w:rsid w:val="00482FBF"/>
    <w:rsid w:val="004A202C"/>
    <w:rsid w:val="004B0CCD"/>
    <w:rsid w:val="004B3FB3"/>
    <w:rsid w:val="004C4691"/>
    <w:rsid w:val="004E5AD1"/>
    <w:rsid w:val="00527AC6"/>
    <w:rsid w:val="00546966"/>
    <w:rsid w:val="005750F1"/>
    <w:rsid w:val="00575EBC"/>
    <w:rsid w:val="00585F8A"/>
    <w:rsid w:val="005A4CAD"/>
    <w:rsid w:val="005C383C"/>
    <w:rsid w:val="005C48E4"/>
    <w:rsid w:val="005E3500"/>
    <w:rsid w:val="005F0032"/>
    <w:rsid w:val="005F1682"/>
    <w:rsid w:val="005F397D"/>
    <w:rsid w:val="005F56C7"/>
    <w:rsid w:val="005F5762"/>
    <w:rsid w:val="0060455B"/>
    <w:rsid w:val="00642EEA"/>
    <w:rsid w:val="00644F9C"/>
    <w:rsid w:val="00655817"/>
    <w:rsid w:val="006930BC"/>
    <w:rsid w:val="006933B3"/>
    <w:rsid w:val="0069580F"/>
    <w:rsid w:val="006A1993"/>
    <w:rsid w:val="006A691D"/>
    <w:rsid w:val="006B5663"/>
    <w:rsid w:val="006C2F14"/>
    <w:rsid w:val="006C3463"/>
    <w:rsid w:val="006D253F"/>
    <w:rsid w:val="006D45DE"/>
    <w:rsid w:val="006F083A"/>
    <w:rsid w:val="00700F7D"/>
    <w:rsid w:val="00707395"/>
    <w:rsid w:val="00713658"/>
    <w:rsid w:val="0071690A"/>
    <w:rsid w:val="0073174B"/>
    <w:rsid w:val="0075665F"/>
    <w:rsid w:val="00756E6B"/>
    <w:rsid w:val="00784D9A"/>
    <w:rsid w:val="00784F20"/>
    <w:rsid w:val="007A120A"/>
    <w:rsid w:val="007A38ED"/>
    <w:rsid w:val="007A6082"/>
    <w:rsid w:val="007A7CBC"/>
    <w:rsid w:val="007B122C"/>
    <w:rsid w:val="007C4EED"/>
    <w:rsid w:val="007C7091"/>
    <w:rsid w:val="007D55BC"/>
    <w:rsid w:val="007E2850"/>
    <w:rsid w:val="007E4126"/>
    <w:rsid w:val="00856593"/>
    <w:rsid w:val="00872F0F"/>
    <w:rsid w:val="00875167"/>
    <w:rsid w:val="00875B6E"/>
    <w:rsid w:val="00886265"/>
    <w:rsid w:val="008B64B8"/>
    <w:rsid w:val="008C2C73"/>
    <w:rsid w:val="008D6691"/>
    <w:rsid w:val="008E5960"/>
    <w:rsid w:val="008E6453"/>
    <w:rsid w:val="008E7E09"/>
    <w:rsid w:val="008F7A8D"/>
    <w:rsid w:val="009058E8"/>
    <w:rsid w:val="0091365B"/>
    <w:rsid w:val="00921551"/>
    <w:rsid w:val="009248C4"/>
    <w:rsid w:val="0093020F"/>
    <w:rsid w:val="00933BA9"/>
    <w:rsid w:val="009401F8"/>
    <w:rsid w:val="009413C6"/>
    <w:rsid w:val="00941911"/>
    <w:rsid w:val="0096468B"/>
    <w:rsid w:val="00980574"/>
    <w:rsid w:val="0098416B"/>
    <w:rsid w:val="00990C7C"/>
    <w:rsid w:val="009954AB"/>
    <w:rsid w:val="00997EC2"/>
    <w:rsid w:val="009A4982"/>
    <w:rsid w:val="009B5654"/>
    <w:rsid w:val="009B7D89"/>
    <w:rsid w:val="009D10BF"/>
    <w:rsid w:val="009D3B88"/>
    <w:rsid w:val="009D6838"/>
    <w:rsid w:val="009F3390"/>
    <w:rsid w:val="00A122A0"/>
    <w:rsid w:val="00A134E7"/>
    <w:rsid w:val="00A30E3A"/>
    <w:rsid w:val="00A416E9"/>
    <w:rsid w:val="00A512BA"/>
    <w:rsid w:val="00A57DDA"/>
    <w:rsid w:val="00A7427D"/>
    <w:rsid w:val="00A80E89"/>
    <w:rsid w:val="00A92433"/>
    <w:rsid w:val="00AA2E7B"/>
    <w:rsid w:val="00AA7457"/>
    <w:rsid w:val="00AC630E"/>
    <w:rsid w:val="00AC6F26"/>
    <w:rsid w:val="00AE626E"/>
    <w:rsid w:val="00AF6738"/>
    <w:rsid w:val="00B0598E"/>
    <w:rsid w:val="00B1152D"/>
    <w:rsid w:val="00B17E7D"/>
    <w:rsid w:val="00B343CF"/>
    <w:rsid w:val="00B361F1"/>
    <w:rsid w:val="00B40798"/>
    <w:rsid w:val="00B55FD3"/>
    <w:rsid w:val="00B66F9F"/>
    <w:rsid w:val="00B75F70"/>
    <w:rsid w:val="00B92065"/>
    <w:rsid w:val="00BA477E"/>
    <w:rsid w:val="00BB0122"/>
    <w:rsid w:val="00BD0C58"/>
    <w:rsid w:val="00BD5849"/>
    <w:rsid w:val="00BE0065"/>
    <w:rsid w:val="00BE0D8D"/>
    <w:rsid w:val="00BE434E"/>
    <w:rsid w:val="00BF0D69"/>
    <w:rsid w:val="00BF3BF2"/>
    <w:rsid w:val="00C01E3B"/>
    <w:rsid w:val="00C02A09"/>
    <w:rsid w:val="00C03447"/>
    <w:rsid w:val="00C1041B"/>
    <w:rsid w:val="00C11803"/>
    <w:rsid w:val="00C17DE1"/>
    <w:rsid w:val="00C32589"/>
    <w:rsid w:val="00C32676"/>
    <w:rsid w:val="00C342EB"/>
    <w:rsid w:val="00C6194A"/>
    <w:rsid w:val="00C66ADA"/>
    <w:rsid w:val="00C72CD4"/>
    <w:rsid w:val="00C87483"/>
    <w:rsid w:val="00CB141B"/>
    <w:rsid w:val="00CC17B9"/>
    <w:rsid w:val="00CD6A2A"/>
    <w:rsid w:val="00CE00CC"/>
    <w:rsid w:val="00CE42C3"/>
    <w:rsid w:val="00D221F3"/>
    <w:rsid w:val="00D22D0B"/>
    <w:rsid w:val="00D4243D"/>
    <w:rsid w:val="00D44A16"/>
    <w:rsid w:val="00D44A9C"/>
    <w:rsid w:val="00D53F5A"/>
    <w:rsid w:val="00D710A0"/>
    <w:rsid w:val="00D776E9"/>
    <w:rsid w:val="00DA2387"/>
    <w:rsid w:val="00DB67A3"/>
    <w:rsid w:val="00DC6324"/>
    <w:rsid w:val="00DD19CF"/>
    <w:rsid w:val="00DD37EA"/>
    <w:rsid w:val="00DD4C4C"/>
    <w:rsid w:val="00DE5846"/>
    <w:rsid w:val="00DF564E"/>
    <w:rsid w:val="00E13296"/>
    <w:rsid w:val="00E17DEB"/>
    <w:rsid w:val="00E33F99"/>
    <w:rsid w:val="00E50C5D"/>
    <w:rsid w:val="00E86970"/>
    <w:rsid w:val="00EE0745"/>
    <w:rsid w:val="00EE6591"/>
    <w:rsid w:val="00EF1F81"/>
    <w:rsid w:val="00F00909"/>
    <w:rsid w:val="00F041B5"/>
    <w:rsid w:val="00F33468"/>
    <w:rsid w:val="00F44A17"/>
    <w:rsid w:val="00F46299"/>
    <w:rsid w:val="00F54C04"/>
    <w:rsid w:val="00F7694E"/>
    <w:rsid w:val="00F80887"/>
    <w:rsid w:val="00F95089"/>
    <w:rsid w:val="00FA11B0"/>
    <w:rsid w:val="00FA3F15"/>
    <w:rsid w:val="00FB2ACC"/>
    <w:rsid w:val="00FB5898"/>
    <w:rsid w:val="00FC0EFE"/>
    <w:rsid w:val="00FC40D1"/>
    <w:rsid w:val="00FE7E60"/>
    <w:rsid w:val="00FF745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1F915A1"/>
  <w15:chartTrackingRefBased/>
  <w15:docId w15:val="{2DB01F71-E177-48ED-9E34-D716D403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szCs w:val="20"/>
      <w:lang w:val="es-ES_tradnl"/>
    </w:rPr>
  </w:style>
  <w:style w:type="paragraph" w:styleId="Ttulo3">
    <w:name w:val="heading 3"/>
    <w:basedOn w:val="Normal"/>
    <w:next w:val="Normal"/>
    <w:qFormat/>
    <w:pPr>
      <w:keepNext/>
      <w:jc w:val="both"/>
      <w:outlineLvl w:val="2"/>
    </w:pPr>
    <w:rPr>
      <w:rFonts w:ascii="Arial" w:hAnsi="Arial"/>
      <w:szCs w:val="20"/>
      <w:u w:val="single"/>
      <w:lang w:val="es-VE"/>
    </w:rPr>
  </w:style>
  <w:style w:type="paragraph" w:styleId="Ttulo8">
    <w:name w:val="heading 8"/>
    <w:basedOn w:val="Normal"/>
    <w:next w:val="Normal"/>
    <w:qFormat/>
    <w:pPr>
      <w:keepNext/>
      <w:jc w:val="center"/>
      <w:outlineLvl w:val="7"/>
    </w:pPr>
    <w:rPr>
      <w:rFonts w:ascii="Arial" w:hAnsi="Arial"/>
      <w:b/>
      <w:bCs/>
      <w:szCs w:val="20"/>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rPr>
      <w:rFonts w:ascii="Arial" w:hAnsi="Arial"/>
      <w:szCs w:val="20"/>
      <w:lang w:val="es-VE"/>
    </w:rPr>
  </w:style>
  <w:style w:type="paragraph" w:customStyle="1" w:styleId="p2">
    <w:name w:val="p2"/>
    <w:basedOn w:val="Normal"/>
    <w:pPr>
      <w:widowControl w:val="0"/>
      <w:tabs>
        <w:tab w:val="left" w:pos="720"/>
      </w:tabs>
      <w:snapToGrid w:val="0"/>
      <w:spacing w:line="240" w:lineRule="atLeast"/>
      <w:jc w:val="both"/>
    </w:pPr>
    <w:rPr>
      <w:szCs w:val="20"/>
    </w:rPr>
  </w:style>
  <w:style w:type="paragraph" w:styleId="Textoindependiente">
    <w:name w:val="Body Text"/>
    <w:basedOn w:val="Normal"/>
    <w:link w:val="TextoindependienteCar"/>
    <w:uiPriority w:val="1"/>
    <w:qFormat/>
    <w:pPr>
      <w:jc w:val="both"/>
    </w:pPr>
    <w:rPr>
      <w:sz w:val="26"/>
      <w:szCs w:val="20"/>
      <w:lang w:val="es-ES_tradnl"/>
    </w:rPr>
  </w:style>
  <w:style w:type="paragraph" w:customStyle="1" w:styleId="Textodenotaalfinal">
    <w:name w:val="Texto de nota al final"/>
    <w:basedOn w:val="Normal"/>
    <w:pPr>
      <w:widowControl w:val="0"/>
    </w:pPr>
    <w:rPr>
      <w:rFonts w:ascii="Courier" w:hAnsi="Courier"/>
      <w:szCs w:val="20"/>
      <w:lang w:val="es-ES_tradnl"/>
    </w:rPr>
  </w:style>
  <w:style w:type="paragraph" w:styleId="Encabezado">
    <w:name w:val="header"/>
    <w:basedOn w:val="Normal"/>
    <w:link w:val="EncabezadoCar"/>
    <w:pPr>
      <w:tabs>
        <w:tab w:val="center" w:pos="4419"/>
        <w:tab w:val="right" w:pos="8838"/>
      </w:tabs>
    </w:pPr>
    <w:rPr>
      <w:sz w:val="20"/>
      <w:szCs w:val="20"/>
      <w:lang w:val="es-VE"/>
    </w:rPr>
  </w:style>
  <w:style w:type="paragraph" w:customStyle="1" w:styleId="p6">
    <w:name w:val="p6"/>
    <w:basedOn w:val="Normal"/>
    <w:pPr>
      <w:widowControl w:val="0"/>
      <w:tabs>
        <w:tab w:val="left" w:pos="320"/>
      </w:tabs>
      <w:snapToGrid w:val="0"/>
      <w:spacing w:line="540" w:lineRule="atLeast"/>
      <w:jc w:val="both"/>
    </w:pPr>
    <w:rPr>
      <w:szCs w:val="20"/>
    </w:rPr>
  </w:style>
  <w:style w:type="paragraph" w:customStyle="1" w:styleId="p7">
    <w:name w:val="p7"/>
    <w:basedOn w:val="Normal"/>
    <w:pPr>
      <w:widowControl w:val="0"/>
      <w:tabs>
        <w:tab w:val="left" w:pos="720"/>
      </w:tabs>
      <w:snapToGrid w:val="0"/>
      <w:spacing w:line="280" w:lineRule="atLeast"/>
      <w:jc w:val="both"/>
    </w:pPr>
    <w:rPr>
      <w:szCs w:val="20"/>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rPr>
      <w:sz w:val="20"/>
      <w:szCs w:val="20"/>
      <w:lang w:val="es-VE"/>
    </w:rPr>
  </w:style>
  <w:style w:type="paragraph" w:styleId="Textodeglobo">
    <w:name w:val="Balloon Text"/>
    <w:basedOn w:val="Normal"/>
    <w:semiHidden/>
    <w:rsid w:val="005C48E4"/>
    <w:rPr>
      <w:rFonts w:ascii="Tahoma" w:hAnsi="Tahoma" w:cs="Tahoma"/>
      <w:sz w:val="16"/>
      <w:szCs w:val="16"/>
    </w:rPr>
  </w:style>
  <w:style w:type="character" w:customStyle="1" w:styleId="EncabezadoCar">
    <w:name w:val="Encabezado Car"/>
    <w:link w:val="Encabezado"/>
    <w:rsid w:val="00713658"/>
    <w:rPr>
      <w:lang w:val="es-VE" w:eastAsia="es-ES" w:bidi="ar-SA"/>
    </w:rPr>
  </w:style>
  <w:style w:type="paragraph" w:styleId="Sangra2detindependiente">
    <w:name w:val="Body Text Indent 2"/>
    <w:basedOn w:val="Normal"/>
    <w:rsid w:val="00DA2387"/>
    <w:pPr>
      <w:spacing w:after="120" w:line="480" w:lineRule="auto"/>
      <w:ind w:left="283"/>
    </w:pPr>
  </w:style>
  <w:style w:type="paragraph" w:styleId="Mapadeldocumento">
    <w:name w:val="Document Map"/>
    <w:basedOn w:val="Normal"/>
    <w:semiHidden/>
    <w:rsid w:val="00784F20"/>
    <w:pPr>
      <w:shd w:val="clear" w:color="auto" w:fill="000080"/>
    </w:pPr>
    <w:rPr>
      <w:rFonts w:ascii="Tahoma" w:hAnsi="Tahoma" w:cs="Tahoma"/>
      <w:sz w:val="20"/>
      <w:szCs w:val="20"/>
    </w:rPr>
  </w:style>
  <w:style w:type="paragraph" w:customStyle="1" w:styleId="Prrafo096p10">
    <w:name w:val="Párrafo 0.96 p/10"/>
    <w:link w:val="Prrafo096p10Char"/>
    <w:qFormat/>
    <w:rsid w:val="00323DF5"/>
    <w:pPr>
      <w:spacing w:after="200"/>
      <w:ind w:left="544"/>
      <w:jc w:val="both"/>
    </w:pPr>
    <w:rPr>
      <w:sz w:val="22"/>
      <w:szCs w:val="22"/>
      <w:lang w:eastAsia="en-US"/>
    </w:rPr>
  </w:style>
  <w:style w:type="paragraph" w:customStyle="1" w:styleId="Prrafo192p10">
    <w:name w:val="Párrafo 1.92 p/10"/>
    <w:qFormat/>
    <w:rsid w:val="00323DF5"/>
    <w:pPr>
      <w:spacing w:after="200"/>
      <w:ind w:left="1089"/>
      <w:jc w:val="both"/>
    </w:pPr>
    <w:rPr>
      <w:sz w:val="22"/>
      <w:szCs w:val="22"/>
      <w:lang w:val="es-MX" w:eastAsia="en-US"/>
    </w:rPr>
  </w:style>
  <w:style w:type="paragraph" w:customStyle="1" w:styleId="Prrafo192p7">
    <w:name w:val="Párrafo 1.92 p/7"/>
    <w:qFormat/>
    <w:rsid w:val="006A691D"/>
    <w:pPr>
      <w:spacing w:after="140"/>
      <w:ind w:left="1089"/>
      <w:jc w:val="both"/>
    </w:pPr>
    <w:rPr>
      <w:noProof/>
      <w:sz w:val="22"/>
      <w:szCs w:val="22"/>
    </w:rPr>
  </w:style>
  <w:style w:type="character" w:customStyle="1" w:styleId="TextoindependienteCar">
    <w:name w:val="Texto independiente Car"/>
    <w:link w:val="Textoindependiente"/>
    <w:uiPriority w:val="1"/>
    <w:rsid w:val="003511F7"/>
    <w:rPr>
      <w:sz w:val="26"/>
      <w:lang w:val="es-ES_tradnl" w:eastAsia="es-ES"/>
    </w:rPr>
  </w:style>
  <w:style w:type="character" w:customStyle="1" w:styleId="PiedepginaCar">
    <w:name w:val="Pie de página Car"/>
    <w:link w:val="Piedepgina"/>
    <w:uiPriority w:val="99"/>
    <w:rsid w:val="006930BC"/>
    <w:rPr>
      <w:lang w:eastAsia="es-ES"/>
    </w:rPr>
  </w:style>
  <w:style w:type="character" w:customStyle="1" w:styleId="Prrafo096p10Char">
    <w:name w:val="Párrafo 0.96 p/10 Char"/>
    <w:link w:val="Prrafo096p10"/>
    <w:locked/>
    <w:rsid w:val="00F334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998711">
      <w:bodyDiv w:val="1"/>
      <w:marLeft w:val="0"/>
      <w:marRight w:val="0"/>
      <w:marTop w:val="0"/>
      <w:marBottom w:val="0"/>
      <w:divBdr>
        <w:top w:val="none" w:sz="0" w:space="0" w:color="auto"/>
        <w:left w:val="none" w:sz="0" w:space="0" w:color="auto"/>
        <w:bottom w:val="none" w:sz="0" w:space="0" w:color="auto"/>
        <w:right w:val="none" w:sz="0" w:space="0" w:color="auto"/>
      </w:divBdr>
    </w:div>
    <w:div w:id="1719937126">
      <w:bodyDiv w:val="1"/>
      <w:marLeft w:val="0"/>
      <w:marRight w:val="0"/>
      <w:marTop w:val="0"/>
      <w:marBottom w:val="0"/>
      <w:divBdr>
        <w:top w:val="none" w:sz="0" w:space="0" w:color="auto"/>
        <w:left w:val="none" w:sz="0" w:space="0" w:color="auto"/>
        <w:bottom w:val="none" w:sz="0" w:space="0" w:color="auto"/>
        <w:right w:val="none" w:sz="0" w:space="0" w:color="auto"/>
      </w:divBdr>
    </w:div>
    <w:div w:id="17622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4A7A-7606-4CFD-9742-E085AFD9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TEXNE CONSULTORES DE</vt:lpstr>
    </vt:vector>
  </TitlesOfParts>
  <Company>...</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TEXNE CONSULTORES DE</dc:title>
  <dc:subject/>
  <dc:creator>...</dc:creator>
  <cp:keywords/>
  <cp:lastModifiedBy>Carlos Avila</cp:lastModifiedBy>
  <cp:revision>2</cp:revision>
  <cp:lastPrinted>2016-07-28T12:08:00Z</cp:lastPrinted>
  <dcterms:created xsi:type="dcterms:W3CDTF">2016-07-28T20:19:00Z</dcterms:created>
  <dcterms:modified xsi:type="dcterms:W3CDTF">2016-07-28T20:19:00Z</dcterms:modified>
</cp:coreProperties>
</file>